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969F" w14:textId="1400AE9E" w:rsidR="00402AE9" w:rsidRDefault="008A7978" w:rsidP="008A7978">
      <w:pPr>
        <w:pStyle w:val="Bezproreda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A503C55" wp14:editId="03E9874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2F99D" w14:textId="77777777" w:rsidR="008A7978" w:rsidRPr="005531B5" w:rsidRDefault="008A7978" w:rsidP="008A79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REPUBLIKA HRVATSKA</w:t>
      </w:r>
    </w:p>
    <w:p w14:paraId="6F9EEF33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F4B5856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888A8CB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3DC04D83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6A654C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531B5">
        <w:rPr>
          <w:rFonts w:ascii="Arial" w:eastAsia="Times New Roman" w:hAnsi="Arial" w:cs="Arial"/>
          <w:sz w:val="24"/>
          <w:szCs w:val="24"/>
          <w:lang w:val="en-US"/>
        </w:rPr>
        <w:t>KLASA: 024-05/22-10/5</w:t>
      </w:r>
    </w:p>
    <w:p w14:paraId="2DBCCBC2" w14:textId="069CD99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531B5">
        <w:rPr>
          <w:rFonts w:ascii="Arial" w:eastAsia="Times New Roman" w:hAnsi="Arial" w:cs="Arial"/>
          <w:sz w:val="24"/>
          <w:szCs w:val="24"/>
          <w:lang w:val="en-US"/>
        </w:rPr>
        <w:t>URBROJ: 238-10-02/22-</w:t>
      </w:r>
      <w:r w:rsidR="00E605DC">
        <w:rPr>
          <w:rFonts w:ascii="Arial" w:eastAsia="Times New Roman" w:hAnsi="Arial" w:cs="Arial"/>
          <w:sz w:val="24"/>
          <w:szCs w:val="24"/>
          <w:lang w:val="en-US"/>
        </w:rPr>
        <w:t>60</w:t>
      </w:r>
    </w:p>
    <w:p w14:paraId="3EE19F54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531B5">
        <w:rPr>
          <w:rFonts w:ascii="Arial" w:eastAsia="Times New Roman" w:hAnsi="Arial" w:cs="Arial"/>
          <w:sz w:val="24"/>
          <w:szCs w:val="24"/>
          <w:lang w:val="en-US"/>
        </w:rPr>
        <w:t>Ivanić-Grad,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________ </w:t>
      </w:r>
      <w:r w:rsidRPr="005531B5">
        <w:rPr>
          <w:rFonts w:ascii="Arial" w:eastAsia="Times New Roman" w:hAnsi="Arial" w:cs="Arial"/>
          <w:sz w:val="24"/>
          <w:szCs w:val="24"/>
          <w:lang w:val="en-US"/>
        </w:rPr>
        <w:t>2022.</w:t>
      </w:r>
    </w:p>
    <w:p w14:paraId="70AA28CA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4AEBADF7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4E7DBBD0" w14:textId="77777777" w:rsidR="008A7978" w:rsidRPr="005531B5" w:rsidRDefault="008A7978" w:rsidP="008A797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89B07A8" w14:textId="77777777" w:rsidR="008A7978" w:rsidRPr="005531B5" w:rsidRDefault="008A7978" w:rsidP="008A797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5531B5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7E81A3D9" w14:textId="77777777" w:rsidR="008A7978" w:rsidRPr="005531B5" w:rsidRDefault="008A7978" w:rsidP="008A7978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4E77CAA5" w14:textId="77777777" w:rsidR="008A7978" w:rsidRPr="005531B5" w:rsidRDefault="008A7978" w:rsidP="008A797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64A5FDDF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DB573BE" w14:textId="77777777" w:rsidR="00BD2AB8" w:rsidRDefault="008A7978" w:rsidP="008A797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>PREDMET: Prij</w:t>
      </w:r>
      <w:bookmarkStart w:id="0" w:name="_Hlk107662858"/>
      <w:r w:rsidRPr="005531B5">
        <w:rPr>
          <w:rFonts w:ascii="Arial" w:eastAsia="Times New Roman" w:hAnsi="Arial" w:cs="Arial"/>
          <w:b/>
          <w:sz w:val="24"/>
          <w:szCs w:val="24"/>
        </w:rPr>
        <w:t>edlog Odlu</w:t>
      </w:r>
      <w:r>
        <w:rPr>
          <w:rFonts w:ascii="Arial" w:eastAsia="Times New Roman" w:hAnsi="Arial" w:cs="Arial"/>
          <w:b/>
          <w:sz w:val="24"/>
          <w:szCs w:val="24"/>
        </w:rPr>
        <w:t>ke o izmjenama</w:t>
      </w:r>
      <w:r w:rsidR="00BD2AB8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Odluke o gradskim porezima </w:t>
      </w:r>
    </w:p>
    <w:p w14:paraId="4F093D5C" w14:textId="578842D3" w:rsidR="008A7978" w:rsidRPr="005531B5" w:rsidRDefault="00BD2AB8" w:rsidP="008A797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</w:t>
      </w:r>
      <w:r w:rsidR="008A7978">
        <w:rPr>
          <w:rFonts w:ascii="Arial" w:eastAsia="Times New Roman" w:hAnsi="Arial" w:cs="Arial"/>
          <w:b/>
          <w:sz w:val="24"/>
          <w:szCs w:val="24"/>
        </w:rPr>
        <w:t>Grada Ivanić-Grada</w:t>
      </w:r>
    </w:p>
    <w:p w14:paraId="3083DB19" w14:textId="37205085" w:rsidR="008A7978" w:rsidRPr="005531B5" w:rsidRDefault="008A7978" w:rsidP="008A797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 xml:space="preserve">        </w:t>
      </w:r>
    </w:p>
    <w:bookmarkEnd w:id="0"/>
    <w:p w14:paraId="4D791E68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3A904AD5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C93990E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55639975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030281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84095F" w14:textId="77777777" w:rsidR="008A7978" w:rsidRPr="005531B5" w:rsidRDefault="008A7978" w:rsidP="008A79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6B685AAD" w14:textId="015DD614" w:rsidR="008A7978" w:rsidRPr="005531B5" w:rsidRDefault="008A7978" w:rsidP="008A7978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1" w:name="_Hlk107663943"/>
      <w:r>
        <w:rPr>
          <w:rFonts w:ascii="Arial" w:eastAsia="Times New Roman" w:hAnsi="Arial" w:cs="Arial"/>
          <w:b/>
          <w:sz w:val="24"/>
          <w:szCs w:val="24"/>
        </w:rPr>
        <w:t>izmjenama</w:t>
      </w:r>
      <w:r w:rsidR="00BD2AB8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Odluke o gradskim porezima Grada Ivanić-Grada</w:t>
      </w:r>
    </w:p>
    <w:bookmarkEnd w:id="1"/>
    <w:p w14:paraId="1D6B7E89" w14:textId="77777777" w:rsidR="008A7978" w:rsidRPr="005531B5" w:rsidRDefault="008A7978" w:rsidP="008A79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FE1FF99" w14:textId="77777777" w:rsidR="008A7978" w:rsidRPr="005531B5" w:rsidRDefault="008A7978" w:rsidP="008A79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5C176267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5531B5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5531B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0826F0BF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8EE955E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određuje se Marina Šiprak, privremena pročelnica Upravnog odjela za lokalnu samoupravu, pravne poslove i društvene djelatnosti.</w:t>
      </w:r>
    </w:p>
    <w:p w14:paraId="53E52A03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989A064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FDAD400" w14:textId="77777777" w:rsidR="008A7978" w:rsidRPr="005531B5" w:rsidRDefault="008A7978" w:rsidP="008A797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1903DC45" w14:textId="77777777" w:rsidR="008A7978" w:rsidRPr="005531B5" w:rsidRDefault="008A7978" w:rsidP="008A7978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4425F57E" w14:textId="77777777" w:rsidR="008A7978" w:rsidRPr="005531B5" w:rsidRDefault="008A7978" w:rsidP="008A7978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7F47C5FA" w14:textId="3FBBFA24" w:rsidR="008A7978" w:rsidRDefault="008A7978" w:rsidP="008A7978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p w14:paraId="5741D547" w14:textId="77777777" w:rsidR="002951AE" w:rsidRDefault="002951AE" w:rsidP="00BD2AB8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3D24AD07" w14:textId="6B5FDA2D" w:rsidR="00BD2AB8" w:rsidRDefault="008A7978" w:rsidP="00BD2AB8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lastRenderedPageBreak/>
        <w:t xml:space="preserve">Na temelju članka 20. i 42. Zakona o lokalnim porezima (Narodne novine, broj </w:t>
      </w:r>
      <w:r w:rsidRPr="008A7978">
        <w:rPr>
          <w:rFonts w:ascii="Arial" w:eastAsia="Calibri" w:hAnsi="Arial" w:cs="Arial"/>
          <w:color w:val="000000"/>
          <w:sz w:val="24"/>
          <w:szCs w:val="24"/>
          <w:lang w:eastAsia="hr-HR"/>
        </w:rPr>
        <w:t>115/16, 101/17</w:t>
      </w:r>
      <w:r w:rsidR="00BD2AB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), članka 35. Zakona o lokalnoj i područnoj (regionalnoj) samoupravi (Narodne novine, broj 33/01, 60/01 – vjerodostojno tumačenje, </w:t>
      </w:r>
      <w:r w:rsidR="00BD2AB8" w:rsidRPr="00185BEE">
        <w:rPr>
          <w:rFonts w:ascii="Arial" w:eastAsia="Calibri" w:hAnsi="Arial" w:cs="Arial"/>
          <w:color w:val="000000"/>
          <w:sz w:val="24"/>
          <w:szCs w:val="24"/>
          <w:lang w:eastAsia="hr-HR"/>
        </w:rPr>
        <w:t>129/05, 109/07, 125/08, 36/09,</w:t>
      </w:r>
      <w:r w:rsidR="00BD2AB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r w:rsidR="00BD2AB8" w:rsidRPr="00185BEE">
        <w:rPr>
          <w:rFonts w:ascii="Arial" w:eastAsia="Calibri" w:hAnsi="Arial" w:cs="Arial"/>
          <w:color w:val="000000"/>
          <w:sz w:val="24"/>
          <w:szCs w:val="24"/>
          <w:lang w:eastAsia="hr-HR"/>
        </w:rPr>
        <w:t>150/11, 144/12, 19/13</w:t>
      </w:r>
      <w:r w:rsidR="00BD2AB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– pročišćeni tekst, </w:t>
      </w:r>
      <w:r w:rsidR="00BD2AB8" w:rsidRPr="00185BEE">
        <w:rPr>
          <w:rFonts w:ascii="Arial" w:eastAsia="Calibri" w:hAnsi="Arial" w:cs="Arial"/>
          <w:color w:val="000000"/>
          <w:sz w:val="24"/>
          <w:szCs w:val="24"/>
          <w:lang w:eastAsia="hr-HR"/>
        </w:rPr>
        <w:t>137/15, 123/17, 98/19, 144/20</w:t>
      </w:r>
      <w:r w:rsidR="00BD2AB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) i članka 35. Statuta Grada Ivanić-Grada (Službeni glasnik Grada Ivanić-Grada, broj 01/21, 04/22), </w:t>
      </w:r>
      <w:r w:rsidR="00BD2AB8" w:rsidRPr="00E873C5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na svojoj __. sjednici održanoj dana ____________ 2022. godine donijelo je sljedeću</w:t>
      </w:r>
    </w:p>
    <w:p w14:paraId="25715E3F" w14:textId="77777777" w:rsidR="00BD2AB8" w:rsidRDefault="00BD2AB8" w:rsidP="00BD2AB8">
      <w:pPr>
        <w:pStyle w:val="Bezproreda"/>
        <w:rPr>
          <w:lang w:eastAsia="hr-HR"/>
        </w:rPr>
      </w:pPr>
    </w:p>
    <w:p w14:paraId="0998FEF2" w14:textId="5F14FCF9" w:rsidR="00BD2AB8" w:rsidRPr="00BD2AB8" w:rsidRDefault="00BD2AB8" w:rsidP="00BD2AB8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BD2AB8">
        <w:rPr>
          <w:rFonts w:ascii="Arial" w:hAnsi="Arial" w:cs="Arial"/>
          <w:b/>
          <w:bCs/>
          <w:sz w:val="24"/>
          <w:szCs w:val="24"/>
          <w:lang w:eastAsia="hr-HR"/>
        </w:rPr>
        <w:t>O D L U K U</w:t>
      </w:r>
    </w:p>
    <w:p w14:paraId="2DAB5DAA" w14:textId="5F1631DF" w:rsidR="00BD2AB8" w:rsidRDefault="00BD2AB8" w:rsidP="00BD2AB8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>
        <w:rPr>
          <w:rFonts w:ascii="Arial" w:hAnsi="Arial" w:cs="Arial"/>
          <w:b/>
          <w:bCs/>
          <w:sz w:val="24"/>
          <w:szCs w:val="24"/>
          <w:lang w:eastAsia="hr-HR"/>
        </w:rPr>
        <w:t>o</w:t>
      </w:r>
      <w:r w:rsidRPr="00BD2AB8">
        <w:rPr>
          <w:rFonts w:ascii="Arial" w:hAnsi="Arial" w:cs="Arial"/>
          <w:b/>
          <w:bCs/>
          <w:sz w:val="24"/>
          <w:szCs w:val="24"/>
          <w:lang w:eastAsia="hr-HR"/>
        </w:rPr>
        <w:t xml:space="preserve"> izmjenam</w:t>
      </w:r>
      <w:r w:rsidR="00157EFF">
        <w:rPr>
          <w:rFonts w:ascii="Arial" w:hAnsi="Arial" w:cs="Arial"/>
          <w:b/>
          <w:bCs/>
          <w:sz w:val="24"/>
          <w:szCs w:val="24"/>
          <w:lang w:eastAsia="hr-HR"/>
        </w:rPr>
        <w:t xml:space="preserve">a </w:t>
      </w:r>
      <w:r w:rsidRPr="00BD2AB8">
        <w:rPr>
          <w:rFonts w:ascii="Arial" w:hAnsi="Arial" w:cs="Arial"/>
          <w:b/>
          <w:bCs/>
          <w:sz w:val="24"/>
          <w:szCs w:val="24"/>
          <w:lang w:eastAsia="hr-HR"/>
        </w:rPr>
        <w:t>Odluke o gradskim porezima Grada Ivanić-Grada</w:t>
      </w:r>
    </w:p>
    <w:p w14:paraId="77621262" w14:textId="08683277" w:rsidR="00BD2AB8" w:rsidRDefault="00BD2AB8" w:rsidP="00BD2AB8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</w:p>
    <w:p w14:paraId="2064B242" w14:textId="3226E812" w:rsidR="00BD2AB8" w:rsidRDefault="00BD2AB8" w:rsidP="00BD2AB8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157EFF">
        <w:rPr>
          <w:rFonts w:ascii="Arial" w:hAnsi="Arial" w:cs="Arial"/>
          <w:sz w:val="24"/>
          <w:szCs w:val="24"/>
          <w:lang w:eastAsia="hr-HR"/>
        </w:rPr>
        <w:t xml:space="preserve">Članak 1. </w:t>
      </w:r>
    </w:p>
    <w:p w14:paraId="19A1BEBA" w14:textId="6D1EA448" w:rsidR="005B5708" w:rsidRDefault="005B5708" w:rsidP="00BD2AB8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</w:p>
    <w:p w14:paraId="3756AC7B" w14:textId="0E35BA2A" w:rsidR="005B5708" w:rsidRDefault="005B5708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Gradsko vijeće Grada Ivanić-Grada je donijelo Odluku o gradskim porezima Grada Ivanić-Grada (Službeni glasnik Grada Ivanić-Grada, broj </w:t>
      </w:r>
      <w:bookmarkStart w:id="2" w:name="_Hlk120571617"/>
      <w:r>
        <w:rPr>
          <w:rFonts w:ascii="Arial" w:hAnsi="Arial" w:cs="Arial"/>
          <w:sz w:val="24"/>
          <w:szCs w:val="24"/>
        </w:rPr>
        <w:t>02/17</w:t>
      </w:r>
      <w:bookmarkEnd w:id="2"/>
      <w:r>
        <w:rPr>
          <w:rFonts w:ascii="Arial" w:hAnsi="Arial" w:cs="Arial"/>
          <w:sz w:val="24"/>
          <w:szCs w:val="24"/>
        </w:rPr>
        <w:t xml:space="preserve"> i 07/17)</w:t>
      </w:r>
      <w:r w:rsidR="00DE1ED8">
        <w:rPr>
          <w:rFonts w:ascii="Arial" w:hAnsi="Arial" w:cs="Arial"/>
          <w:sz w:val="24"/>
          <w:szCs w:val="24"/>
        </w:rPr>
        <w:t xml:space="preserve">, dalje u tekstu: </w:t>
      </w:r>
      <w:r>
        <w:rPr>
          <w:rFonts w:ascii="Arial" w:hAnsi="Arial" w:cs="Arial"/>
          <w:sz w:val="24"/>
          <w:szCs w:val="24"/>
        </w:rPr>
        <w:t>Odluka.</w:t>
      </w:r>
    </w:p>
    <w:p w14:paraId="1323BE88" w14:textId="77777777" w:rsidR="005B5708" w:rsidRDefault="005B5708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D5124B2" w14:textId="77777777" w:rsidR="005B5708" w:rsidRDefault="005B5708" w:rsidP="005B570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14:paraId="0CF9B0D6" w14:textId="77777777" w:rsidR="005B5708" w:rsidRDefault="005B5708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201B1FF" w14:textId="52E9DD61" w:rsidR="005B5708" w:rsidRDefault="005B5708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Članak 9. Odluke mijenja se i glasi: </w:t>
      </w:r>
    </w:p>
    <w:p w14:paraId="76165C93" w14:textId="77777777" w:rsidR="005B5708" w:rsidRDefault="005B5708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8EF9E40" w14:textId="57B2E4E9" w:rsidR="005B5708" w:rsidRDefault="005B5708" w:rsidP="005B5708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C2D13">
        <w:rPr>
          <w:rFonts w:ascii="Arial" w:hAnsi="Arial" w:cs="Arial"/>
          <w:sz w:val="24"/>
          <w:szCs w:val="24"/>
        </w:rPr>
        <w:t>„Članak</w:t>
      </w:r>
      <w:r>
        <w:rPr>
          <w:rFonts w:ascii="Arial" w:hAnsi="Arial" w:cs="Arial"/>
          <w:sz w:val="24"/>
          <w:szCs w:val="24"/>
        </w:rPr>
        <w:t xml:space="preserve"> 9.</w:t>
      </w:r>
    </w:p>
    <w:p w14:paraId="05049FD5" w14:textId="72409E0E" w:rsidR="005B5708" w:rsidRDefault="005B5708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Porez na kuće za odmor plaća se u visini od 1,</w:t>
      </w:r>
      <w:r w:rsidR="00CD2EE2">
        <w:rPr>
          <w:rFonts w:ascii="Arial" w:hAnsi="Arial" w:cs="Arial"/>
          <w:sz w:val="24"/>
          <w:szCs w:val="24"/>
        </w:rPr>
        <w:t>59</w:t>
      </w:r>
      <w:r>
        <w:rPr>
          <w:rFonts w:ascii="Arial" w:hAnsi="Arial" w:cs="Arial"/>
          <w:sz w:val="24"/>
          <w:szCs w:val="24"/>
        </w:rPr>
        <w:t xml:space="preserve"> eura godišnje p</w:t>
      </w:r>
      <w:r w:rsidR="002951AE"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z w:val="24"/>
          <w:szCs w:val="24"/>
        </w:rPr>
        <w:t>jednom četvornom metru korisne površine kuće za odmor.“.</w:t>
      </w:r>
    </w:p>
    <w:p w14:paraId="3E73D42F" w14:textId="7C9FF37A" w:rsidR="005B5708" w:rsidRDefault="005B5708" w:rsidP="005B570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F4C7872" w14:textId="5602B168" w:rsidR="005B5708" w:rsidRDefault="005B5708" w:rsidP="005B5708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D311DA">
        <w:rPr>
          <w:rFonts w:ascii="Arial" w:hAnsi="Arial" w:cs="Arial"/>
          <w:sz w:val="24"/>
          <w:szCs w:val="24"/>
        </w:rPr>
        <w:t>Članak 3.</w:t>
      </w:r>
    </w:p>
    <w:p w14:paraId="405CBDD2" w14:textId="40EAEF5D" w:rsidR="005B5708" w:rsidRDefault="005B5708" w:rsidP="005B5708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1FC2898A" w14:textId="05232809" w:rsidR="003F162D" w:rsidRDefault="00CD2EE2" w:rsidP="00CD2EE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17. Odluke mijenja se i glasi:</w:t>
      </w:r>
    </w:p>
    <w:p w14:paraId="35B6F35D" w14:textId="77777777" w:rsidR="00CD2EE2" w:rsidRDefault="00CD2EE2" w:rsidP="00CD2EE2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DFC5517" w14:textId="35FF9412" w:rsidR="00CD2EE2" w:rsidRDefault="00CD2EE2" w:rsidP="00CD2EE2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„Članak 17.</w:t>
      </w:r>
    </w:p>
    <w:p w14:paraId="268216C4" w14:textId="71D7609B" w:rsidR="003F162D" w:rsidRPr="003F162D" w:rsidRDefault="003F162D" w:rsidP="003F162D">
      <w:pPr>
        <w:pStyle w:val="box454092"/>
        <w:shd w:val="clear" w:color="auto" w:fill="FFFFFF"/>
        <w:spacing w:before="0" w:beforeAutospacing="0" w:after="48" w:afterAutospacing="0"/>
        <w:jc w:val="both"/>
        <w:textAlignment w:val="baseline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t xml:space="preserve">       </w:t>
      </w:r>
      <w:r w:rsidRPr="003F162D">
        <w:rPr>
          <w:rFonts w:ascii="Arial" w:hAnsi="Arial" w:cs="Arial"/>
          <w:color w:val="231F20"/>
        </w:rPr>
        <w:t>Prema zoni i namjeni korištenja javne površine, porez na korištenje javne površine za zauzimanje prostora javne površine plaća se kako slijedi:</w:t>
      </w:r>
    </w:p>
    <w:p w14:paraId="67B02D13" w14:textId="77777777" w:rsidR="003F162D" w:rsidRPr="008F6265" w:rsidRDefault="003F162D" w:rsidP="003F162D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 w:rsidRPr="008F6265">
        <w:rPr>
          <w:rFonts w:ascii="Arial" w:hAnsi="Arial" w:cs="Arial"/>
          <w:color w:val="231F20"/>
        </w:rPr>
        <w:t>a) za postavu kioska i montažnog objekta privremenog karaktera:</w:t>
      </w:r>
    </w:p>
    <w:p w14:paraId="6CBE23DE" w14:textId="78C76252" w:rsidR="003F162D" w:rsidRPr="008F6265" w:rsidRDefault="003F162D" w:rsidP="003F162D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 w:rsidRPr="008F6265">
        <w:rPr>
          <w:rFonts w:ascii="Arial" w:hAnsi="Arial" w:cs="Arial"/>
          <w:color w:val="231F20"/>
        </w:rPr>
        <w:t xml:space="preserve">– 4,00 eura/m² u I. zoni  </w:t>
      </w:r>
      <w:r w:rsidR="008F6CD2" w:rsidRPr="008F6265">
        <w:rPr>
          <w:rFonts w:ascii="Arial" w:hAnsi="Arial" w:cs="Arial"/>
          <w:color w:val="231F20"/>
        </w:rPr>
        <w:t xml:space="preserve"> </w:t>
      </w:r>
      <w:r w:rsidRPr="008F6265">
        <w:rPr>
          <w:rFonts w:ascii="Arial" w:hAnsi="Arial" w:cs="Arial"/>
          <w:color w:val="231F20"/>
        </w:rPr>
        <w:t>– mjesečno</w:t>
      </w:r>
    </w:p>
    <w:p w14:paraId="584AEE84" w14:textId="4D2BBF3B" w:rsidR="003F162D" w:rsidRPr="003F162D" w:rsidRDefault="003F162D" w:rsidP="002C609B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 w:rsidRPr="008F6265">
        <w:rPr>
          <w:rFonts w:ascii="Arial" w:hAnsi="Arial" w:cs="Arial"/>
          <w:color w:val="231F20"/>
        </w:rPr>
        <w:t>– 2,00 eura/m² u II. zoni  – mjesečno</w:t>
      </w:r>
    </w:p>
    <w:p w14:paraId="330A3BD9" w14:textId="58412E7D" w:rsidR="003F162D" w:rsidRPr="003F162D" w:rsidRDefault="003F162D" w:rsidP="003F162D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 w:rsidRPr="003F162D">
        <w:rPr>
          <w:rFonts w:ascii="Arial" w:hAnsi="Arial" w:cs="Arial"/>
          <w:color w:val="231F20"/>
        </w:rPr>
        <w:t>b) za postavu pokretnih radnji (u pravilu na kotačima, za obavljanje uslužne, ugostiteljske, trgovačke, promotivne ili druge djelatnosti)</w:t>
      </w:r>
    </w:p>
    <w:p w14:paraId="2AA6C79A" w14:textId="0598D52F" w:rsidR="003F162D" w:rsidRPr="003F162D" w:rsidRDefault="003F162D" w:rsidP="003F162D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 w:rsidRPr="003F162D">
        <w:rPr>
          <w:rFonts w:ascii="Arial" w:hAnsi="Arial" w:cs="Arial"/>
          <w:color w:val="231F20"/>
        </w:rPr>
        <w:t xml:space="preserve">– do 10 m² – </w:t>
      </w:r>
      <w:r w:rsidR="00493443">
        <w:rPr>
          <w:rFonts w:ascii="Arial" w:hAnsi="Arial" w:cs="Arial"/>
          <w:color w:val="231F20"/>
        </w:rPr>
        <w:t>15,00 eura</w:t>
      </w:r>
      <w:r w:rsidRPr="003F162D">
        <w:rPr>
          <w:rFonts w:ascii="Arial" w:hAnsi="Arial" w:cs="Arial"/>
          <w:color w:val="231F20"/>
        </w:rPr>
        <w:t>/m² dnevno</w:t>
      </w:r>
    </w:p>
    <w:p w14:paraId="5B443BA1" w14:textId="4F016FC6" w:rsidR="003F162D" w:rsidRPr="003F162D" w:rsidRDefault="003F162D" w:rsidP="003F162D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 w:rsidRPr="003F162D">
        <w:rPr>
          <w:rFonts w:ascii="Arial" w:hAnsi="Arial" w:cs="Arial"/>
          <w:color w:val="231F20"/>
        </w:rPr>
        <w:t>– preko</w:t>
      </w:r>
      <w:r w:rsidR="00493443">
        <w:rPr>
          <w:rFonts w:ascii="Arial" w:hAnsi="Arial" w:cs="Arial"/>
          <w:color w:val="231F20"/>
        </w:rPr>
        <w:t xml:space="preserve"> </w:t>
      </w:r>
      <w:r w:rsidRPr="003F162D">
        <w:rPr>
          <w:rFonts w:ascii="Arial" w:hAnsi="Arial" w:cs="Arial"/>
          <w:color w:val="231F20"/>
        </w:rPr>
        <w:t xml:space="preserve">10,00 m² – </w:t>
      </w:r>
      <w:r w:rsidR="00493443">
        <w:rPr>
          <w:rFonts w:ascii="Arial" w:hAnsi="Arial" w:cs="Arial"/>
          <w:color w:val="231F20"/>
        </w:rPr>
        <w:t>10,00 eura</w:t>
      </w:r>
      <w:r w:rsidRPr="003F162D">
        <w:rPr>
          <w:rFonts w:ascii="Arial" w:hAnsi="Arial" w:cs="Arial"/>
          <w:color w:val="231F20"/>
        </w:rPr>
        <w:t>/m² dnevno</w:t>
      </w:r>
    </w:p>
    <w:p w14:paraId="63B083C6" w14:textId="6BDC7A8C" w:rsidR="003F162D" w:rsidRPr="003F162D" w:rsidRDefault="003F162D" w:rsidP="003F162D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 w:rsidRPr="003F162D">
        <w:rPr>
          <w:rFonts w:ascii="Arial" w:hAnsi="Arial" w:cs="Arial"/>
          <w:color w:val="231F20"/>
        </w:rPr>
        <w:t>c)</w:t>
      </w:r>
      <w:r w:rsidR="008F6CD2">
        <w:rPr>
          <w:rFonts w:ascii="Arial" w:hAnsi="Arial" w:cs="Arial"/>
          <w:color w:val="231F20"/>
        </w:rPr>
        <w:t xml:space="preserve"> </w:t>
      </w:r>
      <w:r w:rsidRPr="003F162D">
        <w:rPr>
          <w:rFonts w:ascii="Arial" w:hAnsi="Arial" w:cs="Arial"/>
          <w:color w:val="231F20"/>
        </w:rPr>
        <w:t>za postavu uslužnih i zabavnih naprava kao što su prenosivi objekti radi prodaje roba</w:t>
      </w:r>
      <w:r w:rsidR="008F6CD2">
        <w:rPr>
          <w:rFonts w:ascii="Arial" w:hAnsi="Arial" w:cs="Arial"/>
          <w:color w:val="231F20"/>
        </w:rPr>
        <w:t xml:space="preserve"> </w:t>
      </w:r>
      <w:r w:rsidRPr="003F162D">
        <w:rPr>
          <w:rFonts w:ascii="Arial" w:hAnsi="Arial" w:cs="Arial"/>
          <w:color w:val="231F20"/>
        </w:rPr>
        <w:t>ili pružanja usluga (automat, hladnjak, vaga, peć za pečenje plodina, štandovi</w:t>
      </w:r>
      <w:r w:rsidR="008F6CD2">
        <w:rPr>
          <w:rFonts w:ascii="Arial" w:hAnsi="Arial" w:cs="Arial"/>
          <w:color w:val="231F20"/>
        </w:rPr>
        <w:t xml:space="preserve">, </w:t>
      </w:r>
      <w:r w:rsidRPr="003F162D">
        <w:rPr>
          <w:rFonts w:ascii="Arial" w:hAnsi="Arial" w:cs="Arial"/>
          <w:color w:val="231F20"/>
        </w:rPr>
        <w:t>klupe, stolovi, stolice i suncobrani za ugostiteljske terase, cirkuski šatori i prijevozna sredstva s drugom opremom cirkusa, luna parkovi i oprema za ostale zabavne radnje i sl.):</w:t>
      </w:r>
    </w:p>
    <w:p w14:paraId="05BC3F8A" w14:textId="5CFD5009" w:rsidR="003F162D" w:rsidRPr="003F162D" w:rsidRDefault="003F162D" w:rsidP="003F162D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 w:rsidRPr="003F162D">
        <w:rPr>
          <w:rFonts w:ascii="Arial" w:hAnsi="Arial" w:cs="Arial"/>
          <w:color w:val="231F20"/>
        </w:rPr>
        <w:t>– 2</w:t>
      </w:r>
      <w:r w:rsidR="00000AC3">
        <w:rPr>
          <w:rFonts w:ascii="Arial" w:hAnsi="Arial" w:cs="Arial"/>
          <w:color w:val="231F20"/>
        </w:rPr>
        <w:t>,50 eura</w:t>
      </w:r>
      <w:r w:rsidRPr="003F162D">
        <w:rPr>
          <w:rFonts w:ascii="Arial" w:hAnsi="Arial" w:cs="Arial"/>
          <w:color w:val="231F20"/>
        </w:rPr>
        <w:t xml:space="preserve">/m² u I. zoni </w:t>
      </w:r>
      <w:r w:rsidR="00493443">
        <w:rPr>
          <w:rFonts w:ascii="Arial" w:hAnsi="Arial" w:cs="Arial"/>
          <w:color w:val="231F20"/>
        </w:rPr>
        <w:t xml:space="preserve">  </w:t>
      </w:r>
      <w:r w:rsidRPr="003F162D">
        <w:rPr>
          <w:rFonts w:ascii="Arial" w:hAnsi="Arial" w:cs="Arial"/>
          <w:color w:val="231F20"/>
        </w:rPr>
        <w:t>– mjesečno</w:t>
      </w:r>
    </w:p>
    <w:p w14:paraId="5B38974F" w14:textId="6AC87F10" w:rsidR="00493443" w:rsidRPr="003F162D" w:rsidRDefault="003F162D" w:rsidP="002C609B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 w:rsidRPr="003F162D">
        <w:rPr>
          <w:rFonts w:ascii="Arial" w:hAnsi="Arial" w:cs="Arial"/>
          <w:color w:val="231F20"/>
        </w:rPr>
        <w:t>– 1</w:t>
      </w:r>
      <w:r w:rsidR="00493443">
        <w:rPr>
          <w:rFonts w:ascii="Arial" w:hAnsi="Arial" w:cs="Arial"/>
          <w:color w:val="231F20"/>
        </w:rPr>
        <w:t>,50 eura</w:t>
      </w:r>
      <w:r w:rsidRPr="003F162D">
        <w:rPr>
          <w:rFonts w:ascii="Arial" w:hAnsi="Arial" w:cs="Arial"/>
          <w:color w:val="231F20"/>
        </w:rPr>
        <w:t xml:space="preserve">/m² u II. zoni </w:t>
      </w:r>
      <w:r w:rsidR="00493443">
        <w:rPr>
          <w:rFonts w:ascii="Arial" w:hAnsi="Arial" w:cs="Arial"/>
          <w:color w:val="231F20"/>
        </w:rPr>
        <w:t xml:space="preserve"> </w:t>
      </w:r>
      <w:r w:rsidRPr="003F162D">
        <w:rPr>
          <w:rFonts w:ascii="Arial" w:hAnsi="Arial" w:cs="Arial"/>
          <w:color w:val="231F20"/>
        </w:rPr>
        <w:t>– mjesečno</w:t>
      </w:r>
    </w:p>
    <w:p w14:paraId="675F81D1" w14:textId="04562E7F" w:rsidR="003F162D" w:rsidRPr="008F6265" w:rsidRDefault="003F162D" w:rsidP="003F162D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 w:rsidRPr="008F6265">
        <w:rPr>
          <w:rFonts w:ascii="Arial" w:hAnsi="Arial" w:cs="Arial"/>
          <w:color w:val="231F20"/>
        </w:rPr>
        <w:lastRenderedPageBreak/>
        <w:t>d) za postavu reklama i reklamnih panoa (reklamne ploče, konstrukcije, reklamni uređaji, natpisi, transparenti, oglasni ormarići, reklamni stupovi i sl.)</w:t>
      </w:r>
    </w:p>
    <w:p w14:paraId="56041188" w14:textId="2E768F3F" w:rsidR="003F162D" w:rsidRPr="008F6265" w:rsidRDefault="003F162D" w:rsidP="003F162D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 w:rsidRPr="008F6265">
        <w:rPr>
          <w:rFonts w:ascii="Arial" w:hAnsi="Arial" w:cs="Arial"/>
          <w:color w:val="231F20"/>
        </w:rPr>
        <w:t>– 1</w:t>
      </w:r>
      <w:r w:rsidR="008F6CD2" w:rsidRPr="008F6265">
        <w:rPr>
          <w:rFonts w:ascii="Arial" w:hAnsi="Arial" w:cs="Arial"/>
          <w:color w:val="231F20"/>
        </w:rPr>
        <w:t>5,00 eura</w:t>
      </w:r>
      <w:r w:rsidRPr="008F6265">
        <w:rPr>
          <w:rFonts w:ascii="Arial" w:hAnsi="Arial" w:cs="Arial"/>
          <w:color w:val="231F20"/>
        </w:rPr>
        <w:t>/m² – godišnje</w:t>
      </w:r>
    </w:p>
    <w:p w14:paraId="752169BE" w14:textId="4BE118A0" w:rsidR="003F162D" w:rsidRPr="008F6265" w:rsidRDefault="003F162D" w:rsidP="003F162D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 w:rsidRPr="008F6265">
        <w:rPr>
          <w:rFonts w:ascii="Arial" w:hAnsi="Arial" w:cs="Arial"/>
          <w:color w:val="231F20"/>
        </w:rPr>
        <w:t>e) otvorena skladišta namijenjena za odlaganje i prodaju građevinskog materijala, drva za ogrjev, automobila, poljoprivrednih strojeva i sl.:</w:t>
      </w:r>
    </w:p>
    <w:p w14:paraId="1DE287F9" w14:textId="406713CC" w:rsidR="003F162D" w:rsidRPr="008F6265" w:rsidRDefault="003F162D" w:rsidP="003F162D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 w:rsidRPr="008F6265">
        <w:rPr>
          <w:rFonts w:ascii="Arial" w:hAnsi="Arial" w:cs="Arial"/>
          <w:color w:val="231F20"/>
        </w:rPr>
        <w:t xml:space="preserve">– </w:t>
      </w:r>
      <w:r w:rsidR="008F6265" w:rsidRPr="008F6265">
        <w:rPr>
          <w:rFonts w:ascii="Arial" w:hAnsi="Arial" w:cs="Arial"/>
          <w:color w:val="231F20"/>
        </w:rPr>
        <w:t>4,00 eura</w:t>
      </w:r>
      <w:r w:rsidRPr="008F6265">
        <w:rPr>
          <w:rFonts w:ascii="Arial" w:hAnsi="Arial" w:cs="Arial"/>
          <w:color w:val="231F20"/>
        </w:rPr>
        <w:t xml:space="preserve">/m² u I. zoni </w:t>
      </w:r>
      <w:r w:rsidR="008F6265" w:rsidRPr="008F6265">
        <w:rPr>
          <w:rFonts w:ascii="Arial" w:hAnsi="Arial" w:cs="Arial"/>
          <w:color w:val="231F20"/>
        </w:rPr>
        <w:t xml:space="preserve"> </w:t>
      </w:r>
      <w:r w:rsidRPr="008F6265">
        <w:rPr>
          <w:rFonts w:ascii="Arial" w:hAnsi="Arial" w:cs="Arial"/>
          <w:color w:val="231F20"/>
        </w:rPr>
        <w:t>– mjesečno</w:t>
      </w:r>
    </w:p>
    <w:p w14:paraId="16872F4E" w14:textId="54118D50" w:rsidR="003F162D" w:rsidRPr="003F162D" w:rsidRDefault="003F162D" w:rsidP="003F162D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 w:rsidRPr="008F6265">
        <w:rPr>
          <w:rFonts w:ascii="Arial" w:hAnsi="Arial" w:cs="Arial"/>
          <w:color w:val="231F20"/>
        </w:rPr>
        <w:t xml:space="preserve">– </w:t>
      </w:r>
      <w:r w:rsidR="008F6265" w:rsidRPr="008F6265">
        <w:rPr>
          <w:rFonts w:ascii="Arial" w:hAnsi="Arial" w:cs="Arial"/>
          <w:color w:val="231F20"/>
        </w:rPr>
        <w:t>2,00 eura</w:t>
      </w:r>
      <w:r w:rsidRPr="008F6265">
        <w:rPr>
          <w:rFonts w:ascii="Arial" w:hAnsi="Arial" w:cs="Arial"/>
          <w:color w:val="231F20"/>
        </w:rPr>
        <w:t>/m² u II. zoni – mjesečno</w:t>
      </w:r>
    </w:p>
    <w:p w14:paraId="5B2E80A0" w14:textId="4108ADC8" w:rsidR="003F162D" w:rsidRPr="003F162D" w:rsidRDefault="003F162D" w:rsidP="003F162D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 w:rsidRPr="003F162D">
        <w:rPr>
          <w:rFonts w:ascii="Arial" w:hAnsi="Arial" w:cs="Arial"/>
          <w:color w:val="231F20"/>
        </w:rPr>
        <w:t>f)</w:t>
      </w:r>
      <w:r w:rsidR="008F6265">
        <w:rPr>
          <w:rFonts w:ascii="Arial" w:hAnsi="Arial" w:cs="Arial"/>
          <w:color w:val="231F20"/>
        </w:rPr>
        <w:t xml:space="preserve"> </w:t>
      </w:r>
      <w:r w:rsidRPr="003F162D">
        <w:rPr>
          <w:rFonts w:ascii="Arial" w:hAnsi="Arial" w:cs="Arial"/>
          <w:color w:val="231F20"/>
        </w:rPr>
        <w:t>blagdanske</w:t>
      </w:r>
      <w:r w:rsidR="00000AC3">
        <w:rPr>
          <w:rFonts w:ascii="Arial" w:hAnsi="Arial" w:cs="Arial"/>
          <w:color w:val="231F20"/>
        </w:rPr>
        <w:t xml:space="preserve"> </w:t>
      </w:r>
      <w:r w:rsidRPr="003F162D">
        <w:rPr>
          <w:rFonts w:ascii="Arial" w:hAnsi="Arial" w:cs="Arial"/>
          <w:color w:val="231F20"/>
        </w:rPr>
        <w:t>prigodne i javne manifestacije (popraćeno</w:t>
      </w:r>
      <w:r w:rsidR="008F6CD2">
        <w:rPr>
          <w:rFonts w:ascii="Arial" w:hAnsi="Arial" w:cs="Arial"/>
          <w:color w:val="231F20"/>
        </w:rPr>
        <w:t xml:space="preserve"> </w:t>
      </w:r>
      <w:r w:rsidRPr="003F162D">
        <w:rPr>
          <w:rFonts w:ascii="Arial" w:hAnsi="Arial" w:cs="Arial"/>
          <w:color w:val="231F20"/>
        </w:rPr>
        <w:t>ugostiteljskom, trgovačkom i zabavnom djelatnošću):</w:t>
      </w:r>
    </w:p>
    <w:p w14:paraId="22096A4B" w14:textId="4A664001" w:rsidR="003F162D" w:rsidRPr="003F162D" w:rsidRDefault="003F162D" w:rsidP="003F162D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 w:rsidRPr="003F162D">
        <w:rPr>
          <w:rFonts w:ascii="Arial" w:hAnsi="Arial" w:cs="Arial"/>
          <w:color w:val="231F20"/>
        </w:rPr>
        <w:t>– do 10 m² –</w:t>
      </w:r>
      <w:r w:rsidR="00493443">
        <w:rPr>
          <w:rFonts w:ascii="Arial" w:hAnsi="Arial" w:cs="Arial"/>
          <w:color w:val="231F20"/>
        </w:rPr>
        <w:t xml:space="preserve"> 15,00 eura</w:t>
      </w:r>
      <w:r w:rsidRPr="003F162D">
        <w:rPr>
          <w:rFonts w:ascii="Arial" w:hAnsi="Arial" w:cs="Arial"/>
          <w:color w:val="231F20"/>
        </w:rPr>
        <w:t>/m² dnevno</w:t>
      </w:r>
    </w:p>
    <w:p w14:paraId="3E1E4A4C" w14:textId="6344DD61" w:rsidR="002C609B" w:rsidRDefault="003F162D" w:rsidP="002C609B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 w:rsidRPr="003F162D">
        <w:rPr>
          <w:rFonts w:ascii="Arial" w:hAnsi="Arial" w:cs="Arial"/>
          <w:color w:val="231F20"/>
        </w:rPr>
        <w:t xml:space="preserve">– preko 10,00 m² – </w:t>
      </w:r>
      <w:r w:rsidR="00493443">
        <w:rPr>
          <w:rFonts w:ascii="Arial" w:hAnsi="Arial" w:cs="Arial"/>
          <w:color w:val="231F20"/>
        </w:rPr>
        <w:t>10,00 eura</w:t>
      </w:r>
      <w:r w:rsidRPr="003F162D">
        <w:rPr>
          <w:rFonts w:ascii="Arial" w:hAnsi="Arial" w:cs="Arial"/>
          <w:color w:val="231F20"/>
        </w:rPr>
        <w:t>/m² dnevno</w:t>
      </w:r>
    </w:p>
    <w:p w14:paraId="63EDC819" w14:textId="1ADDA8C3" w:rsidR="002C609B" w:rsidRDefault="002C609B" w:rsidP="002C609B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t>g) za postavu montažnih objekata privremenog karaktera – tipske garaže:</w:t>
      </w:r>
    </w:p>
    <w:p w14:paraId="50EEFCDF" w14:textId="03170A3B" w:rsidR="002C609B" w:rsidRPr="003F162D" w:rsidRDefault="002C609B" w:rsidP="002C609B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 w:rsidRPr="003F162D">
        <w:rPr>
          <w:rFonts w:ascii="Arial" w:hAnsi="Arial" w:cs="Arial"/>
          <w:color w:val="231F20"/>
        </w:rPr>
        <w:t>– 2</w:t>
      </w:r>
      <w:r>
        <w:rPr>
          <w:rFonts w:ascii="Arial" w:hAnsi="Arial" w:cs="Arial"/>
          <w:color w:val="231F20"/>
        </w:rPr>
        <w:t>,00 eura</w:t>
      </w:r>
      <w:r w:rsidRPr="003F162D">
        <w:rPr>
          <w:rFonts w:ascii="Arial" w:hAnsi="Arial" w:cs="Arial"/>
          <w:color w:val="231F20"/>
        </w:rPr>
        <w:t xml:space="preserve">/m² u I. zoni </w:t>
      </w:r>
      <w:r>
        <w:rPr>
          <w:rFonts w:ascii="Arial" w:hAnsi="Arial" w:cs="Arial"/>
          <w:color w:val="231F20"/>
        </w:rPr>
        <w:t xml:space="preserve">  </w:t>
      </w:r>
      <w:r w:rsidRPr="003F162D">
        <w:rPr>
          <w:rFonts w:ascii="Arial" w:hAnsi="Arial" w:cs="Arial"/>
          <w:color w:val="231F20"/>
        </w:rPr>
        <w:t>– mjesečno</w:t>
      </w:r>
    </w:p>
    <w:p w14:paraId="7B67E959" w14:textId="0848C212" w:rsidR="002C609B" w:rsidRPr="003F162D" w:rsidRDefault="002C609B" w:rsidP="002C609B">
      <w:pPr>
        <w:pStyle w:val="box45409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  <w:r w:rsidRPr="003F162D">
        <w:rPr>
          <w:rFonts w:ascii="Arial" w:hAnsi="Arial" w:cs="Arial"/>
          <w:color w:val="231F20"/>
        </w:rPr>
        <w:t>– 1</w:t>
      </w:r>
      <w:r>
        <w:rPr>
          <w:rFonts w:ascii="Arial" w:hAnsi="Arial" w:cs="Arial"/>
          <w:color w:val="231F20"/>
        </w:rPr>
        <w:t>,00 euro</w:t>
      </w:r>
      <w:r w:rsidRPr="003F162D">
        <w:rPr>
          <w:rFonts w:ascii="Arial" w:hAnsi="Arial" w:cs="Arial"/>
          <w:color w:val="231F20"/>
        </w:rPr>
        <w:t xml:space="preserve">/m² u II. zoni </w:t>
      </w:r>
      <w:r>
        <w:rPr>
          <w:rFonts w:ascii="Arial" w:hAnsi="Arial" w:cs="Arial"/>
          <w:color w:val="231F20"/>
        </w:rPr>
        <w:t xml:space="preserve"> </w:t>
      </w:r>
      <w:r w:rsidRPr="003F162D">
        <w:rPr>
          <w:rFonts w:ascii="Arial" w:hAnsi="Arial" w:cs="Arial"/>
          <w:color w:val="231F20"/>
        </w:rPr>
        <w:t>– mjesečno</w:t>
      </w:r>
    </w:p>
    <w:p w14:paraId="5BBD47A9" w14:textId="77777777" w:rsidR="00493443" w:rsidRDefault="00493443" w:rsidP="00493443">
      <w:pPr>
        <w:pStyle w:val="Bezproreda"/>
        <w:rPr>
          <w:rFonts w:ascii="Arial" w:hAnsi="Arial" w:cs="Arial"/>
          <w:sz w:val="24"/>
          <w:szCs w:val="24"/>
        </w:rPr>
      </w:pPr>
    </w:p>
    <w:p w14:paraId="5325EBDC" w14:textId="305D1D08" w:rsidR="00CD2EE2" w:rsidRDefault="00CD2EE2" w:rsidP="0049344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8F6265">
        <w:rPr>
          <w:rFonts w:ascii="Arial" w:hAnsi="Arial" w:cs="Arial"/>
          <w:sz w:val="24"/>
          <w:szCs w:val="24"/>
        </w:rPr>
        <w:t xml:space="preserve">Članak </w:t>
      </w:r>
      <w:r w:rsidR="002C609B">
        <w:rPr>
          <w:rFonts w:ascii="Arial" w:hAnsi="Arial" w:cs="Arial"/>
          <w:sz w:val="24"/>
          <w:szCs w:val="24"/>
        </w:rPr>
        <w:t>4</w:t>
      </w:r>
      <w:r w:rsidRPr="008F6265">
        <w:rPr>
          <w:rFonts w:ascii="Arial" w:hAnsi="Arial" w:cs="Arial"/>
          <w:sz w:val="24"/>
          <w:szCs w:val="24"/>
        </w:rPr>
        <w:t>.</w:t>
      </w:r>
    </w:p>
    <w:p w14:paraId="70D639F9" w14:textId="77777777" w:rsidR="00CD2EE2" w:rsidRDefault="00CD2EE2" w:rsidP="00CD2EE2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57B0A9A" w14:textId="29FCB2DA" w:rsidR="00CD2EE2" w:rsidRDefault="00CD2EE2" w:rsidP="00CD2EE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18. Odluke mijenja se i glasi:</w:t>
      </w:r>
    </w:p>
    <w:p w14:paraId="38F010C4" w14:textId="77777777" w:rsidR="00AF5D52" w:rsidRDefault="00AF5D52" w:rsidP="00AF5D52">
      <w:pPr>
        <w:pStyle w:val="Bezproreda"/>
        <w:rPr>
          <w:rFonts w:ascii="Arial" w:hAnsi="Arial" w:cs="Arial"/>
          <w:sz w:val="24"/>
          <w:szCs w:val="24"/>
        </w:rPr>
      </w:pPr>
    </w:p>
    <w:p w14:paraId="7526D55C" w14:textId="2352C22D" w:rsidR="008F6265" w:rsidRDefault="00CD2EE2" w:rsidP="00AF5D52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„Članak 18.</w:t>
      </w:r>
    </w:p>
    <w:p w14:paraId="0A9B67CE" w14:textId="2E01632C" w:rsidR="008F6265" w:rsidRDefault="008F6265" w:rsidP="008F626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Od plaćanja poreza na korištenje javnih površina izuzimaj</w:t>
      </w:r>
      <w:r w:rsidR="003821A4">
        <w:rPr>
          <w:rFonts w:ascii="Arial" w:hAnsi="Arial" w:cs="Arial"/>
          <w:sz w:val="24"/>
          <w:szCs w:val="24"/>
        </w:rPr>
        <w:t>u se aktivnost</w:t>
      </w:r>
      <w:r w:rsidR="00AF5D52">
        <w:rPr>
          <w:rFonts w:ascii="Arial" w:hAnsi="Arial" w:cs="Arial"/>
          <w:sz w:val="24"/>
          <w:szCs w:val="24"/>
        </w:rPr>
        <w:t>i</w:t>
      </w:r>
      <w:r w:rsidR="00B96389">
        <w:rPr>
          <w:rFonts w:ascii="Arial" w:hAnsi="Arial" w:cs="Arial"/>
          <w:sz w:val="24"/>
          <w:szCs w:val="24"/>
        </w:rPr>
        <w:t xml:space="preserve"> i manifestacije </w:t>
      </w:r>
      <w:r w:rsidR="003821A4">
        <w:rPr>
          <w:rFonts w:ascii="Arial" w:hAnsi="Arial" w:cs="Arial"/>
          <w:sz w:val="24"/>
          <w:szCs w:val="24"/>
        </w:rPr>
        <w:t>za humanitarnu, kulturnu, sportsku, prosvjetno-edukativnu djelatnost i zdravstvene usluge.“.</w:t>
      </w:r>
    </w:p>
    <w:p w14:paraId="36A7430B" w14:textId="77777777" w:rsidR="00000AC3" w:rsidRDefault="00000AC3" w:rsidP="00000AC3">
      <w:pPr>
        <w:pStyle w:val="Bezproreda"/>
        <w:rPr>
          <w:rFonts w:ascii="Arial" w:hAnsi="Arial" w:cs="Arial"/>
          <w:sz w:val="24"/>
          <w:szCs w:val="24"/>
          <w:lang w:eastAsia="hr-HR"/>
        </w:rPr>
      </w:pPr>
    </w:p>
    <w:p w14:paraId="5163B74B" w14:textId="5B6BE1C7" w:rsidR="00CD2EE2" w:rsidRDefault="00CD2EE2" w:rsidP="00000AC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CD2EE2">
        <w:rPr>
          <w:rFonts w:ascii="Arial" w:hAnsi="Arial" w:cs="Arial"/>
          <w:sz w:val="24"/>
          <w:szCs w:val="24"/>
        </w:rPr>
        <w:t xml:space="preserve">Članak </w:t>
      </w:r>
      <w:r w:rsidR="002C609B">
        <w:rPr>
          <w:rFonts w:ascii="Arial" w:hAnsi="Arial" w:cs="Arial"/>
          <w:sz w:val="24"/>
          <w:szCs w:val="24"/>
        </w:rPr>
        <w:t>5</w:t>
      </w:r>
      <w:r w:rsidRPr="00CD2EE2">
        <w:rPr>
          <w:rFonts w:ascii="Arial" w:hAnsi="Arial" w:cs="Arial"/>
          <w:sz w:val="24"/>
          <w:szCs w:val="24"/>
        </w:rPr>
        <w:t>.</w:t>
      </w:r>
    </w:p>
    <w:p w14:paraId="47D9AD8E" w14:textId="77777777" w:rsidR="00CD2EE2" w:rsidRDefault="00CD2EE2" w:rsidP="00CD2EE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837FE48" w14:textId="2D9F0042" w:rsidR="00CD2EE2" w:rsidRDefault="00CD2EE2" w:rsidP="00CD2EE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20. Odluke mijenja se i glasi:</w:t>
      </w:r>
    </w:p>
    <w:p w14:paraId="3722DB4F" w14:textId="77777777" w:rsidR="00CD2EE2" w:rsidRDefault="00CD2EE2" w:rsidP="00CD2EE2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36BD002C" w14:textId="4F194167" w:rsidR="00EF09F5" w:rsidRDefault="00CD2EE2" w:rsidP="00EF09F5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„Članak 20</w:t>
      </w:r>
      <w:r w:rsidR="00EF09F5">
        <w:rPr>
          <w:rFonts w:ascii="Arial" w:hAnsi="Arial" w:cs="Arial"/>
          <w:sz w:val="24"/>
          <w:szCs w:val="24"/>
        </w:rPr>
        <w:t>.</w:t>
      </w:r>
    </w:p>
    <w:p w14:paraId="16EEF09A" w14:textId="333976B9" w:rsidR="00EF09F5" w:rsidRDefault="00EF09F5" w:rsidP="00EF09F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Upravni odjel Grada Ivanić-Grada nadležan za poslove komunalnog redarstva </w:t>
      </w:r>
      <w:r w:rsidR="009E67A6">
        <w:rPr>
          <w:rFonts w:ascii="Arial" w:hAnsi="Arial" w:cs="Arial"/>
          <w:sz w:val="24"/>
          <w:szCs w:val="24"/>
        </w:rPr>
        <w:t>izdaje Rješenje o odobrenju za korištenje javnih površina, te ga prosljeđuje Ispostavi Porezne uprave nadležne za područje Grada Ivanić-Grada.“.</w:t>
      </w:r>
    </w:p>
    <w:p w14:paraId="3E8C74CB" w14:textId="2D696491" w:rsidR="009E67A6" w:rsidRDefault="009E67A6" w:rsidP="00EF09F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FA96752" w14:textId="1E88A562" w:rsidR="009608E2" w:rsidRDefault="009E67A6" w:rsidP="009608E2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</w:t>
      </w:r>
      <w:r w:rsidR="009608E2">
        <w:rPr>
          <w:rFonts w:ascii="Arial" w:hAnsi="Arial" w:cs="Arial"/>
          <w:sz w:val="24"/>
          <w:szCs w:val="24"/>
        </w:rPr>
        <w:t xml:space="preserve">ak </w:t>
      </w:r>
      <w:r w:rsidR="002C609B">
        <w:rPr>
          <w:rFonts w:ascii="Arial" w:hAnsi="Arial" w:cs="Arial"/>
          <w:sz w:val="24"/>
          <w:szCs w:val="24"/>
        </w:rPr>
        <w:t>6</w:t>
      </w:r>
      <w:r w:rsidR="009608E2">
        <w:rPr>
          <w:rFonts w:ascii="Arial" w:hAnsi="Arial" w:cs="Arial"/>
          <w:sz w:val="24"/>
          <w:szCs w:val="24"/>
        </w:rPr>
        <w:t>.</w:t>
      </w:r>
    </w:p>
    <w:p w14:paraId="67621189" w14:textId="38479A99" w:rsidR="009608E2" w:rsidRDefault="009608E2" w:rsidP="009608E2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5E58A251" w14:textId="31BBB391" w:rsidR="009608E2" w:rsidRDefault="009608E2" w:rsidP="009608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osmoga dana od dana objave u Službenom glasniku Grada Ivanić-Grada, a primjenjuje se od 1. siječnja 2023. godine.</w:t>
      </w:r>
    </w:p>
    <w:p w14:paraId="414F353E" w14:textId="77777777" w:rsidR="009608E2" w:rsidRDefault="009608E2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8174F3A" w14:textId="77777777" w:rsidR="009608E2" w:rsidRDefault="009608E2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957D3BF" w14:textId="16BA673D" w:rsidR="009608E2" w:rsidRDefault="009608E2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14:paraId="09630375" w14:textId="77777777" w:rsidR="009608E2" w:rsidRDefault="009608E2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14:paraId="36885467" w14:textId="77777777" w:rsidR="009608E2" w:rsidRDefault="009608E2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14:paraId="271AD666" w14:textId="77777777" w:rsidR="009608E2" w:rsidRDefault="009608E2" w:rsidP="009608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14:paraId="211CB37D" w14:textId="77777777" w:rsidR="009608E2" w:rsidRDefault="009608E2" w:rsidP="009608E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8EAC43" w14:textId="77777777" w:rsidR="009608E2" w:rsidRDefault="009608E2" w:rsidP="009608E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9FDEDF" w14:textId="651E82D9" w:rsidR="009608E2" w:rsidRDefault="009608E2" w:rsidP="009608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 Predsjednik Gradskog vijeća:</w:t>
      </w:r>
    </w:p>
    <w:p w14:paraId="4F35E65B" w14:textId="77777777" w:rsidR="009608E2" w:rsidRDefault="009608E2" w:rsidP="009608E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14:paraId="34EDBCF0" w14:textId="6C5ED0DD" w:rsidR="009608E2" w:rsidRPr="002C609B" w:rsidRDefault="009608E2" w:rsidP="002C609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___________ 2022.                            Željko Pongrac, pravnik kriminalist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9608E2" w:rsidRPr="005531B5" w14:paraId="1B95335C" w14:textId="77777777" w:rsidTr="002003D4">
        <w:tc>
          <w:tcPr>
            <w:tcW w:w="4644" w:type="dxa"/>
          </w:tcPr>
          <w:p w14:paraId="33318921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3" w:name="_Hlk107747300"/>
          </w:p>
          <w:p w14:paraId="0E668FDB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0FA9885F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75E166BF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632F9D1A" w14:textId="7E75EA20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31B5">
              <w:rPr>
                <w:rFonts w:ascii="Arial" w:eastAsia="Times New Roman" w:hAnsi="Arial" w:cs="Arial"/>
                <w:bCs/>
                <w:sz w:val="24"/>
                <w:szCs w:val="24"/>
              </w:rPr>
              <w:t>Prijedlog O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dlu</w:t>
            </w:r>
            <w:bookmarkStart w:id="4" w:name="_Hlk120616623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ke o izmjenama Odluke o gradskim porezima Grada Ivanić-Grada </w:t>
            </w:r>
          </w:p>
          <w:bookmarkEnd w:id="4"/>
          <w:p w14:paraId="34AAE80E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bookmarkEnd w:id="3"/>
      <w:tr w:rsidR="009608E2" w:rsidRPr="005531B5" w14:paraId="278728DE" w14:textId="77777777" w:rsidTr="002003D4">
        <w:tc>
          <w:tcPr>
            <w:tcW w:w="4644" w:type="dxa"/>
          </w:tcPr>
          <w:p w14:paraId="45E014D5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08C0300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565BE5C0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E89CCEB" w14:textId="49D1098E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Na temelju članka 20. i 42. Zakona o lokalnim porezima (Narodne novine, broj </w:t>
            </w:r>
            <w:r w:rsidRPr="008A7978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115/16, 101/17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), članka 35. Zakona o lokalnoj i područnoj (regionalnoj) samoupravi (Narodne novine, broj 33/01, 60/01 – vjerodostojno tumačenje, </w:t>
            </w:r>
            <w:r w:rsidRPr="00185BE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129/05, 109/07, 125/08, 36/09,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185BE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150/11, 144/12, 19/13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– pročišćeni tekst, </w:t>
            </w:r>
            <w:r w:rsidRPr="00185BE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137/15, 123/17, 98/19, 144/20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) i članka 35. Statuta Grada Ivanić-Grada (Službeni glasnik Grada Ivanić-Grada, broj 01/21, 04/22)</w:t>
            </w:r>
          </w:p>
        </w:tc>
      </w:tr>
      <w:tr w:rsidR="009608E2" w:rsidRPr="005531B5" w14:paraId="1505FFB4" w14:textId="77777777" w:rsidTr="002003D4">
        <w:tc>
          <w:tcPr>
            <w:tcW w:w="4644" w:type="dxa"/>
          </w:tcPr>
          <w:p w14:paraId="073789CB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8ADEC9C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35B21E5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A302689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4430F2A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5BA99D57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9608E2" w:rsidRPr="005531B5" w14:paraId="4892A713" w14:textId="77777777" w:rsidTr="002003D4">
        <w:tc>
          <w:tcPr>
            <w:tcW w:w="4644" w:type="dxa"/>
          </w:tcPr>
          <w:p w14:paraId="222F61DA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EC9AA49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9966DEF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B046B9A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3A0BD81" w14:textId="77777777" w:rsidR="009608E2" w:rsidRPr="005531B5" w:rsidRDefault="009608E2" w:rsidP="002003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3D2059FF" w14:textId="77777777" w:rsidR="009608E2" w:rsidRPr="005531B5" w:rsidRDefault="009608E2" w:rsidP="009608E2">
      <w:pPr>
        <w:spacing w:after="0" w:line="240" w:lineRule="auto"/>
        <w:rPr>
          <w:rFonts w:ascii="Calibri" w:eastAsia="Calibri" w:hAnsi="Calibri" w:cs="Times New Roman"/>
        </w:rPr>
      </w:pPr>
    </w:p>
    <w:p w14:paraId="1D295A2A" w14:textId="73686C9B" w:rsidR="009608E2" w:rsidRDefault="009608E2" w:rsidP="009608E2">
      <w:pPr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5531B5">
        <w:rPr>
          <w:rFonts w:ascii="Arial" w:eastAsia="Calibri" w:hAnsi="Arial" w:cs="Arial"/>
          <w:b/>
          <w:bCs/>
          <w:sz w:val="24"/>
          <w:szCs w:val="24"/>
        </w:rPr>
        <w:t>OBRAZLOŽENJE:</w:t>
      </w:r>
    </w:p>
    <w:p w14:paraId="480DC741" w14:textId="72655613" w:rsidR="009608E2" w:rsidRDefault="009608E2" w:rsidP="009608E2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Pravni temelj za donošenje ove Odluke su odredbe članka </w:t>
      </w:r>
      <w:r w:rsidRPr="009608E2">
        <w:rPr>
          <w:rFonts w:ascii="Arial" w:eastAsia="Calibri" w:hAnsi="Arial" w:cs="Arial"/>
          <w:sz w:val="24"/>
          <w:szCs w:val="24"/>
        </w:rPr>
        <w:t>20. i 42. Zakona o lokalnim porezima (Narodne novine, broj 115/16, 101/17), članka 35. Zakona o lokalnoj i područnoj (regionalnoj) samoupravi (Narodne novine, broj 33/01, 60/01 – vjerodostojno tumačenje, 129/05, 109/07, 125/08, 36/09, 150/11, 144/12, 19/13 – pročišćeni tekst, 137/15, 123/17, 98/19, 144/20) i članka 35. Statuta Grada Ivanić-Grada (Službeni glasnik Grada Ivanić-Grada, broj 01/21, 04/22)</w:t>
      </w:r>
      <w:r>
        <w:rPr>
          <w:rFonts w:ascii="Arial" w:eastAsia="Calibri" w:hAnsi="Arial" w:cs="Arial"/>
          <w:sz w:val="24"/>
          <w:szCs w:val="24"/>
        </w:rPr>
        <w:t>.</w:t>
      </w:r>
    </w:p>
    <w:p w14:paraId="34A408A5" w14:textId="66D29432" w:rsidR="009608E2" w:rsidRDefault="0041311D" w:rsidP="009608E2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Temeljem odredbe </w:t>
      </w:r>
      <w:r w:rsidR="009608E2">
        <w:rPr>
          <w:rFonts w:ascii="Arial" w:eastAsia="Calibri" w:hAnsi="Arial" w:cs="Arial"/>
          <w:sz w:val="24"/>
          <w:szCs w:val="24"/>
        </w:rPr>
        <w:t>članka 20. Zako</w:t>
      </w:r>
      <w:r>
        <w:rPr>
          <w:rFonts w:ascii="Arial" w:eastAsia="Calibri" w:hAnsi="Arial" w:cs="Arial"/>
          <w:sz w:val="24"/>
          <w:szCs w:val="24"/>
        </w:rPr>
        <w:t>na o lokalnim porezima</w:t>
      </w:r>
      <w:r w:rsidR="00B538B7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>jedinice lokalne samouprave mogu uvesti sljedeće poreze:</w:t>
      </w:r>
    </w:p>
    <w:p w14:paraId="02DE847B" w14:textId="6015E41D" w:rsidR="00B538B7" w:rsidRDefault="0041311D" w:rsidP="00B538B7">
      <w:pPr>
        <w:pStyle w:val="Odlomakpopisa"/>
        <w:numPr>
          <w:ilvl w:val="0"/>
          <w:numId w:val="2"/>
        </w:numPr>
        <w:jc w:val="both"/>
        <w:rPr>
          <w:rFonts w:ascii="Arial" w:eastAsia="Calibri" w:hAnsi="Arial" w:cs="Arial"/>
          <w:sz w:val="24"/>
          <w:szCs w:val="24"/>
        </w:rPr>
      </w:pPr>
      <w:r w:rsidRPr="00B538B7">
        <w:rPr>
          <w:rFonts w:ascii="Arial" w:eastAsia="Calibri" w:hAnsi="Arial" w:cs="Arial"/>
          <w:sz w:val="24"/>
          <w:szCs w:val="24"/>
        </w:rPr>
        <w:t>prirez porezu na dohodak</w:t>
      </w:r>
      <w:r w:rsidR="00716136">
        <w:rPr>
          <w:rFonts w:ascii="Arial" w:eastAsia="Calibri" w:hAnsi="Arial" w:cs="Arial"/>
          <w:sz w:val="24"/>
          <w:szCs w:val="24"/>
        </w:rPr>
        <w:t>,</w:t>
      </w:r>
    </w:p>
    <w:p w14:paraId="059CFE7F" w14:textId="42DD1CC7" w:rsidR="00B538B7" w:rsidRDefault="0041311D" w:rsidP="00B538B7">
      <w:pPr>
        <w:pStyle w:val="Odlomakpopisa"/>
        <w:numPr>
          <w:ilvl w:val="0"/>
          <w:numId w:val="2"/>
        </w:numPr>
        <w:jc w:val="both"/>
        <w:rPr>
          <w:rFonts w:ascii="Arial" w:eastAsia="Calibri" w:hAnsi="Arial" w:cs="Arial"/>
          <w:sz w:val="24"/>
          <w:szCs w:val="24"/>
        </w:rPr>
      </w:pPr>
      <w:r w:rsidRPr="00B538B7">
        <w:rPr>
          <w:rFonts w:ascii="Arial" w:eastAsia="Calibri" w:hAnsi="Arial" w:cs="Arial"/>
          <w:sz w:val="24"/>
          <w:szCs w:val="24"/>
        </w:rPr>
        <w:t>porez na potrošnju</w:t>
      </w:r>
      <w:r w:rsidR="00716136">
        <w:rPr>
          <w:rFonts w:ascii="Arial" w:eastAsia="Calibri" w:hAnsi="Arial" w:cs="Arial"/>
          <w:sz w:val="24"/>
          <w:szCs w:val="24"/>
        </w:rPr>
        <w:t>,</w:t>
      </w:r>
    </w:p>
    <w:p w14:paraId="7B81C30D" w14:textId="37A5DBE1" w:rsidR="00B538B7" w:rsidRDefault="0041311D" w:rsidP="00B538B7">
      <w:pPr>
        <w:pStyle w:val="Odlomakpopisa"/>
        <w:numPr>
          <w:ilvl w:val="0"/>
          <w:numId w:val="2"/>
        </w:numPr>
        <w:jc w:val="both"/>
        <w:rPr>
          <w:rFonts w:ascii="Arial" w:eastAsia="Calibri" w:hAnsi="Arial" w:cs="Arial"/>
          <w:sz w:val="24"/>
          <w:szCs w:val="24"/>
        </w:rPr>
      </w:pPr>
      <w:r w:rsidRPr="00B538B7">
        <w:rPr>
          <w:rFonts w:ascii="Arial" w:eastAsia="Calibri" w:hAnsi="Arial" w:cs="Arial"/>
          <w:sz w:val="24"/>
          <w:szCs w:val="24"/>
        </w:rPr>
        <w:t>porez na kuće za odmor</w:t>
      </w:r>
      <w:r w:rsidR="00716136">
        <w:rPr>
          <w:rFonts w:ascii="Arial" w:eastAsia="Calibri" w:hAnsi="Arial" w:cs="Arial"/>
          <w:sz w:val="24"/>
          <w:szCs w:val="24"/>
        </w:rPr>
        <w:t>,</w:t>
      </w:r>
    </w:p>
    <w:p w14:paraId="283C4131" w14:textId="0E15F5C2" w:rsidR="0041311D" w:rsidRPr="00B538B7" w:rsidRDefault="0041311D" w:rsidP="00B538B7">
      <w:pPr>
        <w:pStyle w:val="Odlomakpopisa"/>
        <w:numPr>
          <w:ilvl w:val="0"/>
          <w:numId w:val="2"/>
        </w:numPr>
        <w:jc w:val="both"/>
        <w:rPr>
          <w:rFonts w:ascii="Arial" w:eastAsia="Calibri" w:hAnsi="Arial" w:cs="Arial"/>
          <w:sz w:val="24"/>
          <w:szCs w:val="24"/>
        </w:rPr>
      </w:pPr>
      <w:r w:rsidRPr="00B538B7">
        <w:rPr>
          <w:rFonts w:ascii="Arial" w:eastAsia="Calibri" w:hAnsi="Arial" w:cs="Arial"/>
          <w:sz w:val="24"/>
          <w:szCs w:val="24"/>
        </w:rPr>
        <w:t>porez na korištenje javnih površina.</w:t>
      </w:r>
    </w:p>
    <w:p w14:paraId="3393D6A7" w14:textId="07C8655A" w:rsidR="0041311D" w:rsidRDefault="0041311D" w:rsidP="0041311D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Temeljem</w:t>
      </w:r>
      <w:r w:rsidR="00B538B7">
        <w:rPr>
          <w:rFonts w:ascii="Arial" w:eastAsia="Calibri" w:hAnsi="Arial" w:cs="Arial"/>
          <w:sz w:val="24"/>
          <w:szCs w:val="24"/>
        </w:rPr>
        <w:t xml:space="preserve"> odredbe članka 42. Zakona o lokalnim porezima, predstavničko tijelo jedinice lokalne samouprave svojom odlukom utvrđuje:</w:t>
      </w:r>
    </w:p>
    <w:p w14:paraId="6C5A6449" w14:textId="37BDAD77" w:rsidR="00B538B7" w:rsidRDefault="00B538B7" w:rsidP="00B538B7">
      <w:pPr>
        <w:pStyle w:val="Odlomakpopisa"/>
        <w:numPr>
          <w:ilvl w:val="0"/>
          <w:numId w:val="2"/>
        </w:num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 potrebe plaćanja prireza porezu na dohodak, visinu stope prireza porezu na dohodak</w:t>
      </w:r>
      <w:r w:rsidR="006662F1">
        <w:rPr>
          <w:rFonts w:ascii="Arial" w:eastAsia="Calibri" w:hAnsi="Arial" w:cs="Arial"/>
          <w:sz w:val="24"/>
          <w:szCs w:val="24"/>
        </w:rPr>
        <w:t>,</w:t>
      </w:r>
    </w:p>
    <w:p w14:paraId="40DB83F1" w14:textId="02B47903" w:rsidR="00B538B7" w:rsidRDefault="00B538B7" w:rsidP="00B538B7">
      <w:pPr>
        <w:pStyle w:val="Odlomakpopisa"/>
        <w:numPr>
          <w:ilvl w:val="0"/>
          <w:numId w:val="2"/>
        </w:num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 potrebe plaćanja poreza na potrošnju, visinu stope poreza na potrošnju i nadležno porezno tijelo za utvrđivanje i naplatu poreza</w:t>
      </w:r>
      <w:r w:rsidR="006662F1">
        <w:rPr>
          <w:rFonts w:ascii="Arial" w:eastAsia="Calibri" w:hAnsi="Arial" w:cs="Arial"/>
          <w:sz w:val="24"/>
          <w:szCs w:val="24"/>
        </w:rPr>
        <w:t>,</w:t>
      </w:r>
    </w:p>
    <w:p w14:paraId="016CDDE8" w14:textId="60932634" w:rsidR="00B538B7" w:rsidRDefault="00B538B7" w:rsidP="00B538B7">
      <w:pPr>
        <w:pStyle w:val="Odlomakpopisa"/>
        <w:numPr>
          <w:ilvl w:val="0"/>
          <w:numId w:val="2"/>
        </w:num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za potrebe plaćanja poreza na kuće za odmor, visinu poreza na kuće za odmor, a ovisno o mjestu, starosti, stanju infrastrukture te drugim okolnostima bitnim za </w:t>
      </w:r>
      <w:r>
        <w:rPr>
          <w:rFonts w:ascii="Arial" w:eastAsia="Calibri" w:hAnsi="Arial" w:cs="Arial"/>
          <w:sz w:val="24"/>
          <w:szCs w:val="24"/>
        </w:rPr>
        <w:lastRenderedPageBreak/>
        <w:t>korištenje kuće za odmor, i nadležno porezno tijelo za utvrđivanje i naplatu poreza</w:t>
      </w:r>
      <w:r w:rsidR="006662F1">
        <w:rPr>
          <w:rFonts w:ascii="Arial" w:eastAsia="Calibri" w:hAnsi="Arial" w:cs="Arial"/>
          <w:sz w:val="24"/>
          <w:szCs w:val="24"/>
        </w:rPr>
        <w:t>,</w:t>
      </w:r>
    </w:p>
    <w:p w14:paraId="16CF0055" w14:textId="3BB9A011" w:rsidR="002C609B" w:rsidRDefault="00B538B7" w:rsidP="002C609B">
      <w:pPr>
        <w:pStyle w:val="Odlomakpopisa"/>
        <w:numPr>
          <w:ilvl w:val="0"/>
          <w:numId w:val="2"/>
        </w:num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 potrebe plaćanja poreza na korištenje javnih površina, što se smatra javnom površinom, visinu, način i uvjete plaćanja poreza na korištenje javnih površina, kao i nadležno porezno tijelo za utvrđivanje</w:t>
      </w:r>
      <w:r w:rsidR="00716136">
        <w:rPr>
          <w:rFonts w:ascii="Arial" w:eastAsia="Calibri" w:hAnsi="Arial" w:cs="Arial"/>
          <w:sz w:val="24"/>
          <w:szCs w:val="24"/>
        </w:rPr>
        <w:t xml:space="preserve"> i naplatu poreza.</w:t>
      </w:r>
    </w:p>
    <w:p w14:paraId="5B3E833E" w14:textId="45A86EE7" w:rsidR="002C609B" w:rsidRDefault="000605EA" w:rsidP="002C609B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Odredbom članka 2. prijedloga Odluke o izmjenama Odluke o gradskim porezima Grada Ivanić-Grada propisuje se visina poreza na kuće za odmor</w:t>
      </w:r>
      <w:r w:rsidR="00CC3D6C">
        <w:rPr>
          <w:rFonts w:ascii="Arial" w:eastAsia="Calibri" w:hAnsi="Arial" w:cs="Arial"/>
          <w:sz w:val="24"/>
          <w:szCs w:val="24"/>
        </w:rPr>
        <w:t>.</w:t>
      </w:r>
    </w:p>
    <w:p w14:paraId="6B4D5F9B" w14:textId="4FBB60B3" w:rsidR="000605EA" w:rsidRDefault="000605EA" w:rsidP="002C609B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Odredbom članka 3. prijedloga Odluke o izmjenama Odluke o gradskim porezima Grada Ivanić-Grada propisuje se visina poreza na korištenje javnih površina, prema zoni i namjeni korištenja javne površine.</w:t>
      </w:r>
    </w:p>
    <w:p w14:paraId="6279A212" w14:textId="16B2F81F" w:rsidR="000605EA" w:rsidRDefault="000605EA" w:rsidP="002C609B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Odredbom članka 4. prijedloga Odluke o izmjenama Odluke o gradskim porezima Grada Ivanić-Grada propisuje se izuzimanje od plaćanja poreza na korištenje javnih površina.</w:t>
      </w:r>
    </w:p>
    <w:p w14:paraId="6AE585F1" w14:textId="7C440384" w:rsidR="000605EA" w:rsidRPr="002C609B" w:rsidRDefault="00CC3D6C" w:rsidP="002C609B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Odredbom članka 5. prijedloga Odluke o izmjenama Odluke o gradskim porezima Grada Ivanić-Grada propisuje se porezno tijelo nadležno za utvrđivanje i naplatu poreza na korištenje javnih površina.</w:t>
      </w:r>
    </w:p>
    <w:p w14:paraId="4A488494" w14:textId="4A490C88" w:rsidR="00716136" w:rsidRPr="00716136" w:rsidRDefault="00716136" w:rsidP="00716136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 obzirom na to da se odluka predstavničkog tijela jedinice lokalne samoupra</w:t>
      </w:r>
      <w:r w:rsidR="001B4BF6">
        <w:rPr>
          <w:rFonts w:ascii="Arial" w:eastAsia="Calibri" w:hAnsi="Arial" w:cs="Arial"/>
          <w:sz w:val="24"/>
          <w:szCs w:val="24"/>
        </w:rPr>
        <w:t>ve o porezima, sukladno odredbi članka 42. stavka 2. Zakona o lokalnim porezima</w:t>
      </w:r>
      <w:r w:rsidR="00CC3D6C">
        <w:rPr>
          <w:rFonts w:ascii="Arial" w:eastAsia="Calibri" w:hAnsi="Arial" w:cs="Arial"/>
          <w:sz w:val="24"/>
          <w:szCs w:val="24"/>
        </w:rPr>
        <w:t xml:space="preserve">, </w:t>
      </w:r>
      <w:r w:rsidR="001B4BF6">
        <w:rPr>
          <w:rFonts w:ascii="Arial" w:eastAsia="Calibri" w:hAnsi="Arial" w:cs="Arial"/>
          <w:sz w:val="24"/>
          <w:szCs w:val="24"/>
        </w:rPr>
        <w:t>može mijenjati najkasnije do 15. prosinca tek</w:t>
      </w:r>
      <w:r w:rsidR="002A3CFB">
        <w:rPr>
          <w:rFonts w:ascii="Arial" w:eastAsia="Calibri" w:hAnsi="Arial" w:cs="Arial"/>
          <w:sz w:val="24"/>
          <w:szCs w:val="24"/>
        </w:rPr>
        <w:t xml:space="preserve">uće godine s primjenom </w:t>
      </w:r>
      <w:r w:rsidR="001B4BF6">
        <w:rPr>
          <w:rFonts w:ascii="Arial" w:eastAsia="Calibri" w:hAnsi="Arial" w:cs="Arial"/>
          <w:sz w:val="24"/>
          <w:szCs w:val="24"/>
        </w:rPr>
        <w:t>od 1. siječnja iduće godine,</w:t>
      </w:r>
      <w:r w:rsidR="00CC3D6C">
        <w:rPr>
          <w:rFonts w:ascii="Arial" w:eastAsia="Calibri" w:hAnsi="Arial" w:cs="Arial"/>
          <w:sz w:val="24"/>
          <w:szCs w:val="24"/>
        </w:rPr>
        <w:t xml:space="preserve"> obzirom na uvođenje eura kao službene valute u Republici Hrvatskoj od 1.1.2023. godine, </w:t>
      </w:r>
      <w:r w:rsidR="001B4BF6">
        <w:rPr>
          <w:rFonts w:ascii="Arial" w:eastAsia="Calibri" w:hAnsi="Arial" w:cs="Arial"/>
          <w:sz w:val="24"/>
          <w:szCs w:val="24"/>
        </w:rPr>
        <w:t>Gradskom vijeću Grada Ivanić-Grada predlaže se usvajanje ove Odluke.</w:t>
      </w:r>
    </w:p>
    <w:p w14:paraId="3D3A2DC1" w14:textId="77777777" w:rsidR="00B538B7" w:rsidRPr="0041311D" w:rsidRDefault="00B538B7" w:rsidP="0041311D">
      <w:pPr>
        <w:jc w:val="both"/>
        <w:rPr>
          <w:rFonts w:ascii="Arial" w:eastAsia="Calibri" w:hAnsi="Arial" w:cs="Arial"/>
          <w:sz w:val="24"/>
          <w:szCs w:val="24"/>
        </w:rPr>
      </w:pPr>
    </w:p>
    <w:p w14:paraId="10DCEBE0" w14:textId="77777777" w:rsidR="009608E2" w:rsidRPr="008A7978" w:rsidRDefault="009608E2" w:rsidP="008A7978"/>
    <w:sectPr w:rsidR="009608E2" w:rsidRPr="008A7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62EA4"/>
    <w:multiLevelType w:val="hybridMultilevel"/>
    <w:tmpl w:val="727A4A3E"/>
    <w:lvl w:ilvl="0" w:tplc="470E76F0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" w15:restartNumberingAfterBreak="0">
    <w:nsid w:val="39A1270C"/>
    <w:multiLevelType w:val="hybridMultilevel"/>
    <w:tmpl w:val="DED2CDF0"/>
    <w:lvl w:ilvl="0" w:tplc="4C4C6C6C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" w15:restartNumberingAfterBreak="0">
    <w:nsid w:val="43555CF7"/>
    <w:multiLevelType w:val="hybridMultilevel"/>
    <w:tmpl w:val="A2A8886C"/>
    <w:lvl w:ilvl="0" w:tplc="CDFCDAB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5138C"/>
    <w:multiLevelType w:val="hybridMultilevel"/>
    <w:tmpl w:val="9F70F84E"/>
    <w:lvl w:ilvl="0" w:tplc="F5E63AFE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4" w15:restartNumberingAfterBreak="0">
    <w:nsid w:val="53BE6FC0"/>
    <w:multiLevelType w:val="hybridMultilevel"/>
    <w:tmpl w:val="B2063BF4"/>
    <w:lvl w:ilvl="0" w:tplc="7D3A9800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" w15:restartNumberingAfterBreak="0">
    <w:nsid w:val="566F3A84"/>
    <w:multiLevelType w:val="hybridMultilevel"/>
    <w:tmpl w:val="FB4AF216"/>
    <w:lvl w:ilvl="0" w:tplc="054A2D16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6" w15:restartNumberingAfterBreak="0">
    <w:nsid w:val="5E6049C9"/>
    <w:multiLevelType w:val="hybridMultilevel"/>
    <w:tmpl w:val="CEBEF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E5973"/>
    <w:multiLevelType w:val="hybridMultilevel"/>
    <w:tmpl w:val="88186A6E"/>
    <w:lvl w:ilvl="0" w:tplc="9CF294EC">
      <w:start w:val="1"/>
      <w:numFmt w:val="upperRoman"/>
      <w:lvlText w:val="%1."/>
      <w:lvlJc w:val="left"/>
      <w:pPr>
        <w:ind w:left="118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48" w:hanging="360"/>
      </w:pPr>
    </w:lvl>
    <w:lvl w:ilvl="2" w:tplc="041A001B" w:tentative="1">
      <w:start w:val="1"/>
      <w:numFmt w:val="lowerRoman"/>
      <w:lvlText w:val="%3."/>
      <w:lvlJc w:val="right"/>
      <w:pPr>
        <w:ind w:left="2268" w:hanging="180"/>
      </w:pPr>
    </w:lvl>
    <w:lvl w:ilvl="3" w:tplc="041A000F" w:tentative="1">
      <w:start w:val="1"/>
      <w:numFmt w:val="decimal"/>
      <w:lvlText w:val="%4."/>
      <w:lvlJc w:val="left"/>
      <w:pPr>
        <w:ind w:left="2988" w:hanging="360"/>
      </w:pPr>
    </w:lvl>
    <w:lvl w:ilvl="4" w:tplc="041A0019" w:tentative="1">
      <w:start w:val="1"/>
      <w:numFmt w:val="lowerLetter"/>
      <w:lvlText w:val="%5."/>
      <w:lvlJc w:val="left"/>
      <w:pPr>
        <w:ind w:left="3708" w:hanging="360"/>
      </w:pPr>
    </w:lvl>
    <w:lvl w:ilvl="5" w:tplc="041A001B" w:tentative="1">
      <w:start w:val="1"/>
      <w:numFmt w:val="lowerRoman"/>
      <w:lvlText w:val="%6."/>
      <w:lvlJc w:val="right"/>
      <w:pPr>
        <w:ind w:left="4428" w:hanging="180"/>
      </w:pPr>
    </w:lvl>
    <w:lvl w:ilvl="6" w:tplc="041A000F" w:tentative="1">
      <w:start w:val="1"/>
      <w:numFmt w:val="decimal"/>
      <w:lvlText w:val="%7."/>
      <w:lvlJc w:val="left"/>
      <w:pPr>
        <w:ind w:left="5148" w:hanging="360"/>
      </w:pPr>
    </w:lvl>
    <w:lvl w:ilvl="7" w:tplc="041A0019" w:tentative="1">
      <w:start w:val="1"/>
      <w:numFmt w:val="lowerLetter"/>
      <w:lvlText w:val="%8."/>
      <w:lvlJc w:val="left"/>
      <w:pPr>
        <w:ind w:left="5868" w:hanging="360"/>
      </w:pPr>
    </w:lvl>
    <w:lvl w:ilvl="8" w:tplc="041A001B" w:tentative="1">
      <w:start w:val="1"/>
      <w:numFmt w:val="lowerRoman"/>
      <w:lvlText w:val="%9."/>
      <w:lvlJc w:val="right"/>
      <w:pPr>
        <w:ind w:left="6588" w:hanging="180"/>
      </w:pPr>
    </w:lvl>
  </w:abstractNum>
  <w:num w:numId="1" w16cid:durableId="1825199735">
    <w:abstractNumId w:val="6"/>
  </w:num>
  <w:num w:numId="2" w16cid:durableId="26104419">
    <w:abstractNumId w:val="2"/>
  </w:num>
  <w:num w:numId="3" w16cid:durableId="732653655">
    <w:abstractNumId w:val="0"/>
  </w:num>
  <w:num w:numId="4" w16cid:durableId="512916682">
    <w:abstractNumId w:val="1"/>
  </w:num>
  <w:num w:numId="5" w16cid:durableId="555818807">
    <w:abstractNumId w:val="4"/>
  </w:num>
  <w:num w:numId="6" w16cid:durableId="1545487976">
    <w:abstractNumId w:val="7"/>
  </w:num>
  <w:num w:numId="7" w16cid:durableId="599875490">
    <w:abstractNumId w:val="5"/>
  </w:num>
  <w:num w:numId="8" w16cid:durableId="2862087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72"/>
    <w:rsid w:val="00000AC3"/>
    <w:rsid w:val="00056872"/>
    <w:rsid w:val="000605EA"/>
    <w:rsid w:val="00157EFF"/>
    <w:rsid w:val="001B4BF6"/>
    <w:rsid w:val="002951AE"/>
    <w:rsid w:val="002A3CFB"/>
    <w:rsid w:val="002C609B"/>
    <w:rsid w:val="003821A4"/>
    <w:rsid w:val="003F162D"/>
    <w:rsid w:val="00402AE9"/>
    <w:rsid w:val="0041311D"/>
    <w:rsid w:val="00493443"/>
    <w:rsid w:val="005B5708"/>
    <w:rsid w:val="006662F1"/>
    <w:rsid w:val="00716136"/>
    <w:rsid w:val="008A7978"/>
    <w:rsid w:val="008F6265"/>
    <w:rsid w:val="008F6CD2"/>
    <w:rsid w:val="009608E2"/>
    <w:rsid w:val="009E67A6"/>
    <w:rsid w:val="00A22EC2"/>
    <w:rsid w:val="00AF5D52"/>
    <w:rsid w:val="00B538B7"/>
    <w:rsid w:val="00B96389"/>
    <w:rsid w:val="00BD2AB8"/>
    <w:rsid w:val="00CC3D6C"/>
    <w:rsid w:val="00CD2EE2"/>
    <w:rsid w:val="00D311DA"/>
    <w:rsid w:val="00DE1ED8"/>
    <w:rsid w:val="00E605DC"/>
    <w:rsid w:val="00EF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4513A"/>
  <w15:chartTrackingRefBased/>
  <w15:docId w15:val="{0C466226-3190-4BE4-81AE-1FC0AF97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A7978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41311D"/>
    <w:pPr>
      <w:ind w:left="720"/>
      <w:contextualSpacing/>
    </w:pPr>
  </w:style>
  <w:style w:type="paragraph" w:customStyle="1" w:styleId="box454092">
    <w:name w:val="box_454092"/>
    <w:basedOn w:val="Normal"/>
    <w:rsid w:val="003F1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6350D-739A-4471-B6DB-A6BF72279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5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7</cp:revision>
  <dcterms:created xsi:type="dcterms:W3CDTF">2022-11-29T11:52:00Z</dcterms:created>
  <dcterms:modified xsi:type="dcterms:W3CDTF">2022-12-01T15:43:00Z</dcterms:modified>
</cp:coreProperties>
</file>