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34E" w:rsidRPr="0022534E" w:rsidRDefault="0022534E" w:rsidP="0022534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22534E">
        <w:rPr>
          <w:rFonts w:ascii="Arial" w:eastAsia="Calibri" w:hAnsi="Arial" w:cs="Arial"/>
          <w:sz w:val="24"/>
          <w:szCs w:val="24"/>
        </w:rPr>
        <w:tab/>
      </w:r>
    </w:p>
    <w:p w:rsidR="0022534E" w:rsidRPr="0022534E" w:rsidRDefault="0022534E" w:rsidP="0022534E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534E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:rsidR="0022534E" w:rsidRPr="0022534E" w:rsidRDefault="0022534E" w:rsidP="0022534E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:rsidR="0022534E" w:rsidRPr="0022534E" w:rsidRDefault="0022534E" w:rsidP="0022534E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:rsidR="0022534E" w:rsidRPr="0022534E" w:rsidRDefault="0022534E" w:rsidP="0022534E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:rsidR="0022534E" w:rsidRPr="0022534E" w:rsidRDefault="0022534E" w:rsidP="0022534E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:rsidR="00A028EB" w:rsidRPr="0022534E" w:rsidRDefault="0022534E" w:rsidP="002253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2534E"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="00A028EB">
        <w:rPr>
          <w:rFonts w:ascii="Arial" w:eastAsia="Times New Roman" w:hAnsi="Arial" w:cs="Arial"/>
          <w:sz w:val="24"/>
          <w:szCs w:val="24"/>
          <w:lang w:eastAsia="hr-HR"/>
        </w:rPr>
        <w:t xml:space="preserve">    022-01/17-01/3</w:t>
      </w:r>
    </w:p>
    <w:p w:rsidR="0022534E" w:rsidRPr="0022534E" w:rsidRDefault="0022534E" w:rsidP="002253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2534E"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  <w:r w:rsidR="00A028EB">
        <w:rPr>
          <w:rFonts w:ascii="Arial" w:eastAsia="Times New Roman" w:hAnsi="Arial" w:cs="Arial"/>
          <w:sz w:val="24"/>
          <w:szCs w:val="24"/>
          <w:lang w:eastAsia="hr-HR"/>
        </w:rPr>
        <w:t xml:space="preserve"> 238/10-02-01-</w:t>
      </w:r>
      <w:proofErr w:type="spellStart"/>
      <w:r w:rsidR="00A028EB">
        <w:rPr>
          <w:rFonts w:ascii="Arial" w:eastAsia="Times New Roman" w:hAnsi="Arial" w:cs="Arial"/>
          <w:sz w:val="24"/>
          <w:szCs w:val="24"/>
          <w:lang w:eastAsia="hr-HR"/>
        </w:rPr>
        <w:t>01</w:t>
      </w:r>
      <w:proofErr w:type="spellEnd"/>
      <w:r w:rsidR="00A028EB">
        <w:rPr>
          <w:rFonts w:ascii="Arial" w:eastAsia="Times New Roman" w:hAnsi="Arial" w:cs="Arial"/>
          <w:sz w:val="24"/>
          <w:szCs w:val="24"/>
          <w:lang w:eastAsia="hr-HR"/>
        </w:rPr>
        <w:t>/1-17-40</w:t>
      </w:r>
    </w:p>
    <w:p w:rsidR="0022534E" w:rsidRPr="0022534E" w:rsidRDefault="00A028EB" w:rsidP="002253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20. listopada</w:t>
      </w:r>
      <w:r w:rsidR="0061070C">
        <w:rPr>
          <w:rFonts w:ascii="Arial" w:eastAsia="Times New Roman" w:hAnsi="Arial" w:cs="Arial"/>
          <w:sz w:val="24"/>
          <w:szCs w:val="24"/>
          <w:lang w:eastAsia="hr-HR"/>
        </w:rPr>
        <w:t xml:space="preserve"> 2017</w:t>
      </w:r>
      <w:r w:rsidR="0022534E" w:rsidRPr="0022534E">
        <w:rPr>
          <w:rFonts w:ascii="Arial" w:eastAsia="Times New Roman" w:hAnsi="Arial" w:cs="Arial"/>
          <w:sz w:val="24"/>
          <w:szCs w:val="24"/>
          <w:lang w:eastAsia="hr-HR"/>
        </w:rPr>
        <w:t>. godine</w:t>
      </w:r>
    </w:p>
    <w:p w:rsidR="0022534E" w:rsidRPr="0022534E" w:rsidRDefault="0022534E" w:rsidP="002253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ind w:left="180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22534E" w:rsidRPr="0022534E" w:rsidRDefault="0022534E" w:rsidP="0022534E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22534E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22534E" w:rsidRPr="0022534E" w:rsidRDefault="0022534E" w:rsidP="0022534E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ind w:left="180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22534E" w:rsidRPr="00A10AFB" w:rsidRDefault="0022534E" w:rsidP="0022534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2534E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22534E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Odluke </w:t>
      </w:r>
      <w:r w:rsidRPr="00A10AFB">
        <w:rPr>
          <w:rFonts w:ascii="Arial" w:hAnsi="Arial" w:cs="Arial"/>
          <w:b/>
          <w:sz w:val="24"/>
          <w:szCs w:val="24"/>
        </w:rPr>
        <w:t xml:space="preserve">o </w:t>
      </w:r>
      <w:r w:rsidR="0061070C">
        <w:rPr>
          <w:rFonts w:ascii="Arial" w:hAnsi="Arial" w:cs="Arial"/>
          <w:b/>
          <w:sz w:val="24"/>
          <w:szCs w:val="24"/>
        </w:rPr>
        <w:t xml:space="preserve">izmijeni Odluke o </w:t>
      </w:r>
      <w:r w:rsidR="00695092">
        <w:rPr>
          <w:rFonts w:ascii="Arial" w:hAnsi="Arial" w:cs="Arial"/>
          <w:b/>
          <w:sz w:val="24"/>
          <w:szCs w:val="24"/>
        </w:rPr>
        <w:t xml:space="preserve">vrijednosti boda za izračun </w:t>
      </w:r>
      <w:bookmarkStart w:id="0" w:name="_GoBack"/>
      <w:bookmarkEnd w:id="0"/>
      <w:r w:rsidRPr="00A10AFB">
        <w:rPr>
          <w:rFonts w:ascii="Arial" w:hAnsi="Arial" w:cs="Arial"/>
          <w:b/>
          <w:sz w:val="24"/>
          <w:szCs w:val="24"/>
        </w:rPr>
        <w:t>komunalne naknade</w:t>
      </w:r>
    </w:p>
    <w:p w:rsidR="0022534E" w:rsidRPr="0022534E" w:rsidRDefault="0022534E" w:rsidP="0022534E">
      <w:pPr>
        <w:spacing w:after="0" w:line="240" w:lineRule="auto"/>
        <w:ind w:left="1410" w:hanging="141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:rsidR="0022534E" w:rsidRPr="0022534E" w:rsidRDefault="0022534E" w:rsidP="0022534E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 broj 02/14), Gradonačelnik Grada Ivanić-Grada, utvrdio je prijedlog</w:t>
      </w:r>
    </w:p>
    <w:p w:rsidR="0022534E" w:rsidRPr="0022534E" w:rsidRDefault="0022534E" w:rsidP="0022534E">
      <w:pPr>
        <w:spacing w:after="0" w:line="240" w:lineRule="auto"/>
        <w:ind w:left="180"/>
        <w:rPr>
          <w:rFonts w:ascii="Arial" w:eastAsia="Calibri" w:hAnsi="Arial" w:cs="Arial"/>
          <w:sz w:val="24"/>
          <w:szCs w:val="24"/>
          <w:lang w:eastAsia="hr-HR"/>
        </w:rPr>
      </w:pPr>
    </w:p>
    <w:p w:rsidR="0022534E" w:rsidRPr="00A10AFB" w:rsidRDefault="0022534E" w:rsidP="0022534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2534E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Pr="00A10AFB">
        <w:rPr>
          <w:rFonts w:ascii="Arial" w:hAnsi="Arial" w:cs="Arial"/>
          <w:b/>
          <w:sz w:val="24"/>
          <w:szCs w:val="24"/>
        </w:rPr>
        <w:t xml:space="preserve">o </w:t>
      </w:r>
      <w:r w:rsidR="0061070C">
        <w:rPr>
          <w:rFonts w:ascii="Arial" w:hAnsi="Arial" w:cs="Arial"/>
          <w:b/>
          <w:sz w:val="24"/>
          <w:szCs w:val="24"/>
        </w:rPr>
        <w:t xml:space="preserve">izmijeni Odluke o </w:t>
      </w:r>
      <w:r w:rsidRPr="00A10AFB">
        <w:rPr>
          <w:rFonts w:ascii="Arial" w:hAnsi="Arial" w:cs="Arial"/>
          <w:b/>
          <w:sz w:val="24"/>
          <w:szCs w:val="24"/>
        </w:rPr>
        <w:t>vrijednosti boda za izračun komunalne naknade</w:t>
      </w:r>
    </w:p>
    <w:p w:rsidR="0022534E" w:rsidRPr="0022534E" w:rsidRDefault="0022534E" w:rsidP="0022534E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ind w:left="360"/>
        <w:jc w:val="center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22534E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22534E" w:rsidRPr="0022534E" w:rsidRDefault="0022534E" w:rsidP="0022534E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Za izvjestitelja na sjednici Gradskoga vijeća određuje se </w:t>
      </w:r>
      <w:r>
        <w:rPr>
          <w:rFonts w:ascii="Arial" w:eastAsia="Calibri" w:hAnsi="Arial" w:cs="Arial"/>
          <w:iCs/>
          <w:sz w:val="24"/>
          <w:szCs w:val="24"/>
          <w:lang w:eastAsia="hr-HR"/>
        </w:rPr>
        <w:t>Milivoj Maršić, pročelnik Upravnog odjela za financije, gospodarstvo, komunalno gospodarstvo i prostorno planiranje.</w:t>
      </w:r>
    </w:p>
    <w:p w:rsidR="0022534E" w:rsidRPr="0022534E" w:rsidRDefault="0022534E" w:rsidP="0022534E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22534E" w:rsidRPr="0022534E" w:rsidRDefault="0022534E" w:rsidP="0022534E">
      <w:pPr>
        <w:spacing w:after="0" w:line="240" w:lineRule="auto"/>
        <w:ind w:left="-540" w:right="-48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ind w:left="5832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22534E" w:rsidRPr="0022534E" w:rsidRDefault="0022534E" w:rsidP="0022534E">
      <w:pPr>
        <w:spacing w:after="0" w:line="240" w:lineRule="auto"/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22534E" w:rsidRDefault="0022534E" w:rsidP="00A10A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2534E" w:rsidRDefault="0022534E" w:rsidP="00640C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5B98" w:rsidRDefault="000C5B98" w:rsidP="00A10A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C5B98" w:rsidRDefault="000C5B98" w:rsidP="00A10A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59009D" w:rsidRDefault="00A10AFB" w:rsidP="00A10A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10AFB">
        <w:rPr>
          <w:rFonts w:ascii="Arial" w:hAnsi="Arial" w:cs="Arial"/>
          <w:sz w:val="24"/>
          <w:szCs w:val="24"/>
        </w:rPr>
        <w:t>Temeljem članka 25. Zakona o komunalnom gospodarstvu (Narodne novine, broj</w:t>
      </w:r>
      <w:r w:rsidR="009C0CB0">
        <w:rPr>
          <w:rFonts w:ascii="Arial" w:hAnsi="Arial" w:cs="Arial"/>
          <w:sz w:val="24"/>
          <w:szCs w:val="24"/>
        </w:rPr>
        <w:t xml:space="preserve"> </w:t>
      </w:r>
      <w:r w:rsidR="009C0CB0" w:rsidRPr="009C0CB0">
        <w:rPr>
          <w:rFonts w:ascii="Arial" w:hAnsi="Arial" w:cs="Arial"/>
          <w:sz w:val="24"/>
          <w:szCs w:val="24"/>
        </w:rPr>
        <w:t>NN 36/95, 70/97, 128/99, 57/00, 129/00, 59/01, 26/03, 82/04, 110/04, 178/04, 38/09, 79/09, 153/09, 49/11, 84/11, 90/11</w:t>
      </w:r>
      <w:r w:rsidR="009C0CB0">
        <w:rPr>
          <w:rFonts w:ascii="Arial" w:hAnsi="Arial" w:cs="Arial"/>
          <w:sz w:val="24"/>
          <w:szCs w:val="24"/>
        </w:rPr>
        <w:t xml:space="preserve">, 144/12, 94/13, 153/13, 147/14 i </w:t>
      </w:r>
      <w:r w:rsidR="009C0CB0" w:rsidRPr="009C0CB0">
        <w:rPr>
          <w:rFonts w:ascii="Arial" w:hAnsi="Arial" w:cs="Arial"/>
          <w:sz w:val="24"/>
          <w:szCs w:val="24"/>
        </w:rPr>
        <w:t xml:space="preserve"> 36/15</w:t>
      </w:r>
      <w:r w:rsidR="009C0CB0">
        <w:rPr>
          <w:rFonts w:ascii="Arial" w:hAnsi="Arial" w:cs="Arial"/>
          <w:sz w:val="24"/>
          <w:szCs w:val="24"/>
        </w:rPr>
        <w:t xml:space="preserve"> </w:t>
      </w:r>
      <w:r w:rsidRPr="00A10AFB">
        <w:rPr>
          <w:rFonts w:ascii="Arial" w:hAnsi="Arial" w:cs="Arial"/>
          <w:sz w:val="24"/>
          <w:szCs w:val="24"/>
        </w:rPr>
        <w:t xml:space="preserve">) i članka 35. Statuta Grada Ivanić-Grada (Službeni glasnik, broj 02/14) Gradsko vijeće Grada Ivanić-Grada na svojoj __ </w:t>
      </w:r>
      <w:r w:rsidR="0061070C">
        <w:rPr>
          <w:rFonts w:ascii="Arial" w:hAnsi="Arial" w:cs="Arial"/>
          <w:sz w:val="24"/>
          <w:szCs w:val="24"/>
        </w:rPr>
        <w:t>sjednici održanoj dana ____ 2017</w:t>
      </w:r>
      <w:r w:rsidRPr="00A10AFB">
        <w:rPr>
          <w:rFonts w:ascii="Arial" w:hAnsi="Arial" w:cs="Arial"/>
          <w:sz w:val="24"/>
          <w:szCs w:val="24"/>
        </w:rPr>
        <w:t>. godine donijelo je sljedeću</w:t>
      </w:r>
    </w:p>
    <w:p w:rsidR="00B27AB0" w:rsidRDefault="00B27AB0" w:rsidP="00A10A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0AFB" w:rsidRDefault="00A10AFB" w:rsidP="00A10A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0AFB" w:rsidRPr="00A10AFB" w:rsidRDefault="00A10AFB" w:rsidP="00A10A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10AFB">
        <w:rPr>
          <w:rFonts w:ascii="Arial" w:hAnsi="Arial" w:cs="Arial"/>
          <w:b/>
          <w:sz w:val="24"/>
          <w:szCs w:val="24"/>
        </w:rPr>
        <w:t>ODLUKU</w:t>
      </w:r>
    </w:p>
    <w:p w:rsidR="00A10AFB" w:rsidRPr="00A10AFB" w:rsidRDefault="00A10AFB" w:rsidP="00A10A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10AFB">
        <w:rPr>
          <w:rFonts w:ascii="Arial" w:hAnsi="Arial" w:cs="Arial"/>
          <w:b/>
          <w:sz w:val="24"/>
          <w:szCs w:val="24"/>
        </w:rPr>
        <w:t xml:space="preserve">o </w:t>
      </w:r>
      <w:r w:rsidR="0061070C">
        <w:rPr>
          <w:rFonts w:ascii="Arial" w:hAnsi="Arial" w:cs="Arial"/>
          <w:b/>
          <w:sz w:val="24"/>
          <w:szCs w:val="24"/>
        </w:rPr>
        <w:t xml:space="preserve">izmijeni Odluke o </w:t>
      </w:r>
      <w:r w:rsidRPr="00A10AFB">
        <w:rPr>
          <w:rFonts w:ascii="Arial" w:hAnsi="Arial" w:cs="Arial"/>
          <w:b/>
          <w:sz w:val="24"/>
          <w:szCs w:val="24"/>
        </w:rPr>
        <w:t>vrijednosti boda za izračun komunalne naknade</w:t>
      </w:r>
    </w:p>
    <w:p w:rsidR="00A10AFB" w:rsidRDefault="00A10AFB" w:rsidP="00A10AF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33FB" w:rsidRDefault="002933FB" w:rsidP="002933F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1.</w:t>
      </w:r>
    </w:p>
    <w:p w:rsidR="002933FB" w:rsidRDefault="002933FB" w:rsidP="002933F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A55AC" w:rsidRPr="006A55AC" w:rsidRDefault="002933FB" w:rsidP="002933F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Članak 2. </w:t>
      </w:r>
      <w:r w:rsidR="006A55AC" w:rsidRPr="006A55AC">
        <w:rPr>
          <w:rFonts w:ascii="Arial" w:hAnsi="Arial" w:cs="Arial"/>
          <w:sz w:val="24"/>
          <w:szCs w:val="24"/>
        </w:rPr>
        <w:t>mijenja se i glasi:</w:t>
      </w:r>
    </w:p>
    <w:p w:rsidR="006A55AC" w:rsidRPr="006A55AC" w:rsidRDefault="006A55AC" w:rsidP="006A55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B41B5" w:rsidRPr="007E7C9A" w:rsidRDefault="006A55AC" w:rsidP="00FB41B5">
      <w:pPr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Vrijednost boda za obračun komunalne naknade iznosi 0,39 kn/m2 mjese</w:t>
      </w:r>
      <w:r w:rsidR="00FB41B5">
        <w:rPr>
          <w:rFonts w:ascii="Arial" w:hAnsi="Arial" w:cs="Arial"/>
          <w:sz w:val="24"/>
          <w:szCs w:val="24"/>
        </w:rPr>
        <w:t xml:space="preserve">čno, odnosno </w:t>
      </w:r>
      <w:r w:rsidR="00FB41B5" w:rsidRPr="00FB41B5"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  <w:r w:rsidR="00FB41B5" w:rsidRPr="007E7C9A">
        <w:rPr>
          <w:rFonts w:ascii="Arial" w:eastAsia="Times New Roman" w:hAnsi="Arial" w:cs="Arial"/>
          <w:sz w:val="24"/>
          <w:szCs w:val="24"/>
        </w:rPr>
        <w:t>4,68 kn/m2 godišnje.</w:t>
      </w:r>
    </w:p>
    <w:p w:rsidR="00FB41B5" w:rsidRPr="007E7C9A" w:rsidRDefault="00FB41B5" w:rsidP="00FB41B5">
      <w:pPr>
        <w:spacing w:after="0" w:line="240" w:lineRule="auto"/>
        <w:rPr>
          <w:rFonts w:ascii="Calibri" w:eastAsia="Calibri" w:hAnsi="Calibri" w:cs="Calibri"/>
        </w:rPr>
      </w:pPr>
    </w:p>
    <w:p w:rsidR="006A55AC" w:rsidRPr="006A55AC" w:rsidRDefault="006A55AC" w:rsidP="007E7C9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A55AC" w:rsidRPr="006A55AC" w:rsidRDefault="006A55AC" w:rsidP="006A55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A55AC" w:rsidRPr="006A55AC" w:rsidRDefault="006A55AC" w:rsidP="006A55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A55AC" w:rsidRPr="006A55AC" w:rsidRDefault="006A55AC" w:rsidP="006A55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A55AC">
        <w:rPr>
          <w:rFonts w:ascii="Arial" w:hAnsi="Arial" w:cs="Arial"/>
          <w:sz w:val="24"/>
          <w:szCs w:val="24"/>
        </w:rPr>
        <w:t>Članak 2.</w:t>
      </w:r>
    </w:p>
    <w:p w:rsidR="006A55AC" w:rsidRPr="006A55AC" w:rsidRDefault="006A55AC" w:rsidP="006A55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A55AC" w:rsidRPr="006A55AC" w:rsidRDefault="006A55AC" w:rsidP="006A55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A55AC">
        <w:rPr>
          <w:rFonts w:ascii="Arial" w:hAnsi="Arial" w:cs="Arial"/>
          <w:sz w:val="24"/>
          <w:szCs w:val="24"/>
        </w:rPr>
        <w:t xml:space="preserve">         Ostali članci Odluke o </w:t>
      </w:r>
      <w:r>
        <w:rPr>
          <w:rFonts w:ascii="Arial" w:hAnsi="Arial" w:cs="Arial"/>
          <w:sz w:val="24"/>
          <w:szCs w:val="24"/>
        </w:rPr>
        <w:t xml:space="preserve"> v</w:t>
      </w:r>
      <w:r w:rsidR="009644AF">
        <w:rPr>
          <w:rFonts w:ascii="Arial" w:hAnsi="Arial" w:cs="Arial"/>
          <w:sz w:val="24"/>
          <w:szCs w:val="24"/>
        </w:rPr>
        <w:t xml:space="preserve">rijednosti boda </w:t>
      </w:r>
      <w:r w:rsidR="002933FB">
        <w:rPr>
          <w:rFonts w:ascii="Arial" w:hAnsi="Arial" w:cs="Arial"/>
          <w:sz w:val="24"/>
          <w:szCs w:val="24"/>
        </w:rPr>
        <w:t xml:space="preserve"> za izračun </w:t>
      </w:r>
      <w:r w:rsidR="009C45B8">
        <w:rPr>
          <w:rFonts w:ascii="Arial" w:hAnsi="Arial" w:cs="Arial"/>
          <w:sz w:val="24"/>
          <w:szCs w:val="24"/>
        </w:rPr>
        <w:t xml:space="preserve"> komunalne naknade </w:t>
      </w:r>
      <w:r w:rsidRPr="006A55AC">
        <w:rPr>
          <w:rFonts w:ascii="Arial" w:hAnsi="Arial" w:cs="Arial"/>
          <w:sz w:val="24"/>
          <w:szCs w:val="24"/>
        </w:rPr>
        <w:t xml:space="preserve">(Službeni glasnik Grada </w:t>
      </w:r>
      <w:r w:rsidR="009644AF">
        <w:rPr>
          <w:rFonts w:ascii="Arial" w:hAnsi="Arial" w:cs="Arial"/>
          <w:sz w:val="24"/>
          <w:szCs w:val="24"/>
        </w:rPr>
        <w:t>Ivanić-Grada, broj 10</w:t>
      </w:r>
      <w:r w:rsidR="009C45B8">
        <w:rPr>
          <w:rFonts w:ascii="Arial" w:hAnsi="Arial" w:cs="Arial"/>
          <w:sz w:val="24"/>
          <w:szCs w:val="24"/>
        </w:rPr>
        <w:t>/14</w:t>
      </w:r>
      <w:r w:rsidRPr="006A55AC">
        <w:rPr>
          <w:rFonts w:ascii="Arial" w:hAnsi="Arial" w:cs="Arial"/>
          <w:sz w:val="24"/>
          <w:szCs w:val="24"/>
        </w:rPr>
        <w:t>) ostaju neizmijenjeni.</w:t>
      </w:r>
    </w:p>
    <w:p w:rsidR="006A55AC" w:rsidRPr="006A55AC" w:rsidRDefault="006A55AC" w:rsidP="006A55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A55AC" w:rsidRPr="006A55AC" w:rsidRDefault="006A55AC" w:rsidP="006A55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A55AC" w:rsidRPr="006A55AC" w:rsidRDefault="006A55AC" w:rsidP="006A55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A55AC">
        <w:rPr>
          <w:rFonts w:ascii="Arial" w:hAnsi="Arial" w:cs="Arial"/>
          <w:sz w:val="24"/>
          <w:szCs w:val="24"/>
        </w:rPr>
        <w:t>Članak 3.</w:t>
      </w:r>
    </w:p>
    <w:p w:rsidR="006A55AC" w:rsidRPr="006A55AC" w:rsidRDefault="006A55AC" w:rsidP="006A55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A55AC" w:rsidRPr="006A55AC" w:rsidRDefault="006A55AC" w:rsidP="006A55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A55AC">
        <w:rPr>
          <w:rFonts w:ascii="Arial" w:hAnsi="Arial" w:cs="Arial"/>
          <w:sz w:val="24"/>
          <w:szCs w:val="24"/>
        </w:rPr>
        <w:t xml:space="preserve">        Ova Odluka stupa na snagu danom donošenja, a objavit će se u Službenom glasniku Grada Ivanić-Grada.</w:t>
      </w:r>
    </w:p>
    <w:p w:rsidR="006A55AC" w:rsidRDefault="006A55AC" w:rsidP="00A10AF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10AFB" w:rsidRDefault="00A10AFB" w:rsidP="00A10A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0AFB" w:rsidRPr="00A10AFB" w:rsidRDefault="00A10AFB" w:rsidP="00A10AF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A10AFB">
        <w:rPr>
          <w:rFonts w:ascii="Arial" w:eastAsia="Calibri" w:hAnsi="Arial" w:cs="Arial"/>
          <w:sz w:val="24"/>
          <w:szCs w:val="24"/>
        </w:rPr>
        <w:t>REPUBLIKA HRVATSKA</w:t>
      </w:r>
    </w:p>
    <w:p w:rsidR="00A10AFB" w:rsidRPr="00A10AFB" w:rsidRDefault="00A10AFB" w:rsidP="00A10AF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A10AFB">
        <w:rPr>
          <w:rFonts w:ascii="Arial" w:eastAsia="Calibri" w:hAnsi="Arial" w:cs="Arial"/>
          <w:sz w:val="24"/>
          <w:szCs w:val="24"/>
        </w:rPr>
        <w:t>ZAGREBAČKA ŽUPANIJA</w:t>
      </w:r>
    </w:p>
    <w:p w:rsidR="00A10AFB" w:rsidRPr="00A10AFB" w:rsidRDefault="00A10AFB" w:rsidP="00A10AF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A10AFB">
        <w:rPr>
          <w:rFonts w:ascii="Arial" w:eastAsia="Calibri" w:hAnsi="Arial" w:cs="Arial"/>
          <w:sz w:val="24"/>
          <w:szCs w:val="24"/>
        </w:rPr>
        <w:t>GRAD IVANIĆ-GRAD</w:t>
      </w:r>
    </w:p>
    <w:p w:rsidR="00A10AFB" w:rsidRPr="00A10AFB" w:rsidRDefault="00A10AFB" w:rsidP="00A10AF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A10AFB">
        <w:rPr>
          <w:rFonts w:ascii="Arial" w:eastAsia="Calibri" w:hAnsi="Arial" w:cs="Arial"/>
          <w:sz w:val="24"/>
          <w:szCs w:val="24"/>
        </w:rPr>
        <w:t>GRADSKO VIJEĆE</w:t>
      </w:r>
    </w:p>
    <w:p w:rsidR="00A10AFB" w:rsidRPr="00A10AFB" w:rsidRDefault="00A10AFB" w:rsidP="00A10AF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A10AFB" w:rsidRPr="00A10AFB" w:rsidRDefault="00A10AFB" w:rsidP="00A10AF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A10AFB" w:rsidRPr="00A10AFB" w:rsidRDefault="00A10AFB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10AFB">
        <w:rPr>
          <w:rFonts w:ascii="Arial" w:eastAsia="Calibri" w:hAnsi="Arial" w:cs="Arial"/>
          <w:sz w:val="24"/>
          <w:szCs w:val="24"/>
        </w:rPr>
        <w:t>KLASA:</w:t>
      </w:r>
      <w:r w:rsidRPr="00A10AFB">
        <w:rPr>
          <w:rFonts w:ascii="Arial" w:eastAsia="Calibri" w:hAnsi="Arial" w:cs="Arial"/>
          <w:sz w:val="24"/>
          <w:szCs w:val="24"/>
        </w:rPr>
        <w:tab/>
      </w:r>
      <w:r w:rsidRPr="00A10AFB">
        <w:rPr>
          <w:rFonts w:ascii="Arial" w:eastAsia="Calibri" w:hAnsi="Arial" w:cs="Arial"/>
          <w:sz w:val="24"/>
          <w:szCs w:val="24"/>
        </w:rPr>
        <w:tab/>
      </w:r>
      <w:r w:rsidRPr="00A10AFB">
        <w:rPr>
          <w:rFonts w:ascii="Arial" w:eastAsia="Calibri" w:hAnsi="Arial" w:cs="Arial"/>
          <w:sz w:val="24"/>
          <w:szCs w:val="24"/>
        </w:rPr>
        <w:tab/>
      </w:r>
      <w:r w:rsidRPr="00A10AFB">
        <w:rPr>
          <w:rFonts w:ascii="Arial" w:eastAsia="Calibri" w:hAnsi="Arial" w:cs="Arial"/>
          <w:sz w:val="24"/>
          <w:szCs w:val="24"/>
        </w:rPr>
        <w:tab/>
      </w:r>
      <w:r w:rsidRPr="00A10AFB">
        <w:rPr>
          <w:rFonts w:ascii="Arial" w:eastAsia="Calibri" w:hAnsi="Arial" w:cs="Arial"/>
          <w:sz w:val="24"/>
          <w:szCs w:val="24"/>
        </w:rPr>
        <w:tab/>
      </w:r>
      <w:r w:rsidRPr="00A10AFB">
        <w:rPr>
          <w:rFonts w:ascii="Arial" w:eastAsia="Calibri" w:hAnsi="Arial" w:cs="Arial"/>
          <w:sz w:val="24"/>
          <w:szCs w:val="24"/>
        </w:rPr>
        <w:tab/>
        <w:t>Predsjednik Gradskog vijeća:</w:t>
      </w:r>
    </w:p>
    <w:p w:rsidR="00A10AFB" w:rsidRPr="00A10AFB" w:rsidRDefault="00A10AFB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10AFB">
        <w:rPr>
          <w:rFonts w:ascii="Arial" w:eastAsia="Calibri" w:hAnsi="Arial" w:cs="Arial"/>
          <w:sz w:val="24"/>
          <w:szCs w:val="24"/>
        </w:rPr>
        <w:t>URBROJ:</w:t>
      </w:r>
    </w:p>
    <w:p w:rsidR="00A10AFB" w:rsidRDefault="006A55AC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Ivanić-Grad, ____ 2017</w:t>
      </w:r>
      <w:r w:rsidR="00A10AFB" w:rsidRPr="00A10AFB">
        <w:rPr>
          <w:rFonts w:ascii="Arial" w:eastAsia="Calibri" w:hAnsi="Arial" w:cs="Arial"/>
          <w:sz w:val="24"/>
          <w:szCs w:val="24"/>
        </w:rPr>
        <w:t>.</w:t>
      </w:r>
      <w:r w:rsidR="00A10AFB" w:rsidRPr="00A10AFB">
        <w:rPr>
          <w:rFonts w:ascii="Arial" w:eastAsia="Calibri" w:hAnsi="Arial" w:cs="Arial"/>
          <w:sz w:val="24"/>
          <w:szCs w:val="24"/>
        </w:rPr>
        <w:tab/>
      </w:r>
      <w:r w:rsidR="00A10AFB" w:rsidRPr="00A10AFB">
        <w:rPr>
          <w:rFonts w:ascii="Arial" w:eastAsia="Calibri" w:hAnsi="Arial" w:cs="Arial"/>
          <w:sz w:val="24"/>
          <w:szCs w:val="24"/>
        </w:rPr>
        <w:tab/>
      </w:r>
      <w:r w:rsidR="00A10AFB" w:rsidRPr="00A10AFB">
        <w:rPr>
          <w:rFonts w:ascii="Arial" w:eastAsia="Calibri" w:hAnsi="Arial" w:cs="Arial"/>
          <w:sz w:val="24"/>
          <w:szCs w:val="24"/>
        </w:rPr>
        <w:tab/>
      </w:r>
      <w:r w:rsidR="00A10AFB" w:rsidRPr="00A10AFB">
        <w:rPr>
          <w:rFonts w:ascii="Arial" w:eastAsia="Calibri" w:hAnsi="Arial" w:cs="Arial"/>
          <w:sz w:val="24"/>
          <w:szCs w:val="24"/>
        </w:rPr>
        <w:tab/>
        <w:t>Željko Pongrac, pravnik kriminalist</w:t>
      </w: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22534E" w:rsidRPr="0022534E" w:rsidTr="00883C5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2253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E" w:rsidRPr="0022534E" w:rsidRDefault="0022534E" w:rsidP="0022534E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2534E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Prijedlog Odluke </w:t>
            </w:r>
            <w:r w:rsidR="006071C6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izmijeni Odluke </w:t>
            </w:r>
            <w:r>
              <w:rPr>
                <w:rFonts w:ascii="Arial" w:eastAsia="Calibri" w:hAnsi="Arial" w:cs="Arial"/>
                <w:sz w:val="24"/>
                <w:szCs w:val="24"/>
              </w:rPr>
              <w:t>o vrijednosti boda za obračun komunalne naknade</w:t>
            </w:r>
          </w:p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22534E" w:rsidRPr="0022534E" w:rsidTr="00883C5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2253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4E" w:rsidRPr="0022534E" w:rsidRDefault="0022534E" w:rsidP="0022534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22534E">
              <w:rPr>
                <w:rFonts w:ascii="Arial" w:eastAsia="Calibri" w:hAnsi="Arial" w:cs="Arial"/>
                <w:sz w:val="24"/>
                <w:szCs w:val="24"/>
              </w:rPr>
              <w:t xml:space="preserve">Članak  </w:t>
            </w:r>
            <w:r w:rsidRPr="00A10AFB">
              <w:rPr>
                <w:rFonts w:ascii="Arial" w:hAnsi="Arial" w:cs="Arial"/>
                <w:sz w:val="24"/>
                <w:szCs w:val="24"/>
              </w:rPr>
              <w:t>25. Zakona o komunalnom gospodarstvu (Narodne novine, broj</w:t>
            </w:r>
            <w:r w:rsidR="002933FB" w:rsidRPr="002933FB">
              <w:rPr>
                <w:rFonts w:ascii="Arial" w:hAnsi="Arial" w:cs="Arial"/>
                <w:sz w:val="24"/>
                <w:szCs w:val="24"/>
              </w:rPr>
              <w:t xml:space="preserve"> 36/95, 70/97, 128/99, 57/00, 129/00, 59/01, 26/03, 82/04, 110/04, 178/04, 38/09, 79/09, 153/09, 49/11, 84/11, 90/11, 144/12, 94/13, 153/13, 147/14 i  36/15 </w:t>
            </w:r>
            <w:r w:rsidR="002933F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10AFB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2534E">
              <w:rPr>
                <w:rFonts w:ascii="Arial" w:eastAsia="Calibri" w:hAnsi="Arial" w:cs="Arial"/>
                <w:sz w:val="24"/>
                <w:szCs w:val="24"/>
              </w:rPr>
              <w:t>i članak 35. Statuta Grada Ivanić-Grada (Službeni glasnik, broj 02/14)</w:t>
            </w:r>
          </w:p>
        </w:tc>
      </w:tr>
      <w:tr w:rsidR="0022534E" w:rsidRPr="0022534E" w:rsidTr="00883C5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2253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22534E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Upravni odjel za financije, gospodarstvo, komunalno gospodarstvo i prostorno planiranje </w:t>
            </w:r>
          </w:p>
        </w:tc>
      </w:tr>
      <w:tr w:rsidR="0022534E" w:rsidRPr="0022534E" w:rsidTr="00883C5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2253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22534E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22534E" w:rsidRPr="0022534E" w:rsidRDefault="0022534E" w:rsidP="0022534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22534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22534E" w:rsidRDefault="0022534E" w:rsidP="00A10A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E7C9A" w:rsidRPr="007E7C9A" w:rsidRDefault="007E7C9A" w:rsidP="007E7C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7C9A">
        <w:rPr>
          <w:rFonts w:ascii="Arial" w:hAnsi="Arial" w:cs="Arial"/>
          <w:sz w:val="24"/>
          <w:szCs w:val="24"/>
        </w:rPr>
        <w:t xml:space="preserve">Obzirom da je vrijednost boda za izračun komunalne naknade donesena 2003. godine i do sada nije mijenjana, a  odredbom članka 30.Zakona o komunalnom gospodarstvu je propisano da se građenje  objekata i uređaja komunalne infrastrukture  za javne površine, nerazvrstane ceste, groblja i krematorije i javna rasvjeta financira iz prihoda komunalne naknade potrebno je radi  realizacije kapitalnih projekata aglomeracije Ivanić Grad odnosno kanalizacijske mreže koja se nalazi u parcelama nerazvrstanih cesta i projekata HŽ na rekonstrukciji i izgradnji pruge dionice Dugo Selo – Novska, a koje je vezano uz izgradnju i  rekonstrukciju cesta i oborinske odvodnje </w:t>
      </w:r>
      <w:r w:rsidR="00DE107B">
        <w:rPr>
          <w:rFonts w:ascii="Arial" w:hAnsi="Arial" w:cs="Arial"/>
          <w:sz w:val="24"/>
          <w:szCs w:val="24"/>
        </w:rPr>
        <w:t xml:space="preserve">, a za iste je </w:t>
      </w:r>
      <w:r w:rsidR="009F27F2">
        <w:rPr>
          <w:rFonts w:ascii="Arial" w:hAnsi="Arial" w:cs="Arial"/>
          <w:sz w:val="24"/>
          <w:szCs w:val="24"/>
        </w:rPr>
        <w:t>odgovorna lokalna samouprava promijeniti vrijednost boda.</w:t>
      </w:r>
      <w:r w:rsidRPr="007E7C9A">
        <w:rPr>
          <w:rFonts w:ascii="Arial" w:hAnsi="Arial" w:cs="Arial"/>
          <w:sz w:val="24"/>
          <w:szCs w:val="24"/>
        </w:rPr>
        <w:t xml:space="preserve"> Bitno je naglasiti da Grad Ivanić Grad započinje projekt novog groblja kako bi se riješili dosadašnji problemi sa ukopom pokojnika na području uže jezgre grada kao i projekt energetske obnove javne rasvjete. Donošenjem nove odluke os</w:t>
      </w:r>
      <w:r w:rsidR="00D27C78">
        <w:rPr>
          <w:rFonts w:ascii="Arial" w:hAnsi="Arial" w:cs="Arial"/>
          <w:sz w:val="24"/>
          <w:szCs w:val="24"/>
        </w:rPr>
        <w:t xml:space="preserve">igurat će se dostatna sredstva </w:t>
      </w:r>
      <w:r w:rsidRPr="007E7C9A">
        <w:rPr>
          <w:rFonts w:ascii="Arial" w:hAnsi="Arial" w:cs="Arial"/>
          <w:sz w:val="24"/>
          <w:szCs w:val="24"/>
        </w:rPr>
        <w:t>za provođenje projekata koji se financiraju iz sredstava komunalne naknade,  a vrijednosti boda za izračun komunalne naknade po prijedlogu odluke iznosi 0,39 kn/m2 mjesečno ili 4,68 kn/m2 godišnje.</w:t>
      </w:r>
    </w:p>
    <w:p w:rsidR="007E7C9A" w:rsidRPr="007E7C9A" w:rsidRDefault="007E7C9A" w:rsidP="007E7C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E7C9A" w:rsidRPr="007E7C9A" w:rsidRDefault="007E7C9A" w:rsidP="007E7C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7C9A">
        <w:rPr>
          <w:rFonts w:ascii="Arial" w:hAnsi="Arial" w:cs="Arial"/>
          <w:sz w:val="24"/>
          <w:szCs w:val="24"/>
        </w:rPr>
        <w:t>Predlaže se Gradskom vijeću Grada Ivanić-Grada usvajanje ove Odluke.</w:t>
      </w:r>
    </w:p>
    <w:p w:rsidR="00806EB8" w:rsidRPr="00A10AFB" w:rsidRDefault="00806EB8" w:rsidP="00A10A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806EB8" w:rsidRPr="00A10A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5279D"/>
    <w:multiLevelType w:val="hybridMultilevel"/>
    <w:tmpl w:val="50565E36"/>
    <w:lvl w:ilvl="0" w:tplc="C0C28A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930ED1"/>
    <w:multiLevelType w:val="hybridMultilevel"/>
    <w:tmpl w:val="1682D3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AFB"/>
    <w:rsid w:val="000C5B98"/>
    <w:rsid w:val="000E7C36"/>
    <w:rsid w:val="0022534E"/>
    <w:rsid w:val="002933FB"/>
    <w:rsid w:val="006071C6"/>
    <w:rsid w:val="0061070C"/>
    <w:rsid w:val="00640CFF"/>
    <w:rsid w:val="00695092"/>
    <w:rsid w:val="006A55AC"/>
    <w:rsid w:val="007B3278"/>
    <w:rsid w:val="007E7C9A"/>
    <w:rsid w:val="00806EB8"/>
    <w:rsid w:val="009644AF"/>
    <w:rsid w:val="009C0CB0"/>
    <w:rsid w:val="009C45B8"/>
    <w:rsid w:val="009F27F2"/>
    <w:rsid w:val="00A028EB"/>
    <w:rsid w:val="00A10AFB"/>
    <w:rsid w:val="00AA749E"/>
    <w:rsid w:val="00AC4D6B"/>
    <w:rsid w:val="00B27AB0"/>
    <w:rsid w:val="00B55EA9"/>
    <w:rsid w:val="00CA6F89"/>
    <w:rsid w:val="00D27C78"/>
    <w:rsid w:val="00DE107B"/>
    <w:rsid w:val="00F242FF"/>
    <w:rsid w:val="00FB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10AF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071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071C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10AF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071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071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4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Cehko</dc:creator>
  <cp:lastModifiedBy>Tihana Vukovic Pocuc</cp:lastModifiedBy>
  <cp:revision>2</cp:revision>
  <cp:lastPrinted>2017-10-18T11:09:00Z</cp:lastPrinted>
  <dcterms:created xsi:type="dcterms:W3CDTF">2017-10-20T07:26:00Z</dcterms:created>
  <dcterms:modified xsi:type="dcterms:W3CDTF">2017-10-20T07:26:00Z</dcterms:modified>
</cp:coreProperties>
</file>