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C3" w:rsidRDefault="008F52C3" w:rsidP="008F52C3">
      <w:pPr>
        <w:jc w:val="center"/>
        <w:rPr>
          <w:rFonts w:ascii="Arial" w:hAnsi="Arial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Na temelju članka 86., članka 89., članka 113. te članka 198.</w:t>
      </w:r>
      <w:r w:rsidRPr="00B87B39">
        <w:rPr>
          <w:rFonts w:ascii="Arial" w:eastAsia="Times New Roman" w:hAnsi="Arial" w:cs="Arial"/>
          <w:noProof/>
          <w:color w:val="FF0000"/>
          <w:kern w:val="0"/>
          <w:szCs w:val="20"/>
          <w:lang w:eastAsia="hr-HR" w:bidi="ar-SA"/>
        </w:rPr>
        <w:t xml:space="preserve"> 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Zakona o prostornom uređenju (</w:t>
      </w: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Narodne novine, broj 153/13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), te </w:t>
      </w: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 xml:space="preserve">članka 35. Statuta Grada Ivanić-Grada (Službeni glasnik, broj 02/14), Gradsko vijeće </w:t>
      </w:r>
      <w:r>
        <w:rPr>
          <w:rFonts w:ascii="Arial" w:eastAsia="Times New Roman" w:hAnsi="Arial" w:cs="Arial"/>
          <w:noProof/>
          <w:kern w:val="0"/>
          <w:lang w:eastAsia="hr-HR" w:bidi="ar-SA"/>
        </w:rPr>
        <w:t xml:space="preserve">Grada Ivanić-Grada na svojoj 23. </w:t>
      </w: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sjednici održa</w:t>
      </w:r>
      <w:r>
        <w:rPr>
          <w:rFonts w:ascii="Arial" w:eastAsia="Times New Roman" w:hAnsi="Arial" w:cs="Arial"/>
          <w:noProof/>
          <w:kern w:val="0"/>
          <w:lang w:eastAsia="hr-HR" w:bidi="ar-SA"/>
        </w:rPr>
        <w:t>noj dana 03. rujna</w:t>
      </w: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 xml:space="preserve"> 2015. godine donijelo je sljedeću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O D L U K U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O IZRADI IV. IZMJENA I DOPUNA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 xml:space="preserve"> URBANISTIČKOG PLANA UREĐENJA UPU-4 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ZA PODRUČJE  IVANIĆ-GRAD, DONJI ŠARAMPOV I JALŠEVEC BREŠKI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284" w:hanging="284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 xml:space="preserve">OPĆE ODREDBE </w:t>
      </w:r>
    </w:p>
    <w:p w:rsidR="008F52C3" w:rsidRPr="00B87B39" w:rsidRDefault="008F52C3" w:rsidP="008F52C3">
      <w:pPr>
        <w:widowControl/>
        <w:suppressAutoHyphens w:val="0"/>
        <w:ind w:left="284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1.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  <w:t>Donosi se Odluka o izradi IV. Izmjena i dopuna Urbanističkog plana uređenja UPU-4 za područje  Ivanić-Grad, Donji Šarampov i Jalševec Breški (Službeni glasnik, broj 13/08, 05/09, 01/12, 06/14 i 03/15), (u daljnjem tekstu Odluka).</w:t>
      </w:r>
    </w:p>
    <w:p w:rsidR="008F52C3" w:rsidRPr="00B87B39" w:rsidRDefault="008F52C3" w:rsidP="008F52C3">
      <w:pPr>
        <w:widowControl/>
        <w:suppressAutoHyphens w:val="0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2.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Ovom Odlukom određuje se: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pravna osnova za izradu i donošenje IV. Izmjena i dopuna Urbanističkog plana uređenja UPU-4 za područje  Ivanić-Grad, Donji Šarampov i Jalševec Breški (u daljnjem tekstu: Izmjena i dopuna Plana),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razlozi izrade i donošenja Izmjena i dopuna Plana,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obuhvat Izmjena i dopuna Plana,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sažeta ocjena stanja u obuhvatu Izmjena i dopuna Plana,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ciljevi i programska polazišta Izmjena i dopuna Plana,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popis sektorskih strategija, planova, studija i drugih dokumenata propisanih posebnih zakonima kojima, odnosno u skladu s kojima se utvrđuju zahtjevi za izradu Izmjena i dopuna Plana,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način pribavljanja stručnih rješenja za Izmjene i dopune Plana,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popis javnopravnih tijela određenih posebnim propisima koja daju zahtjeve za izradu Izmjena i dopuna Plana te drugih sudionika korisnika prostora koji trebaju sudjelovati u izradi Izmjena i dopuna Plana,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planirani roki za izradu Izmjena i dopuna Plana, odnosno njegovih pojedinih faza,</w:t>
      </w: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izvori financiranja izrade Izmjena i dopuna Plana.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3.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Nositelj izrade Izmjena i dopuna Plana u ime Grada Ivanić-Grada je Upravni odjela za financije, gospodarstvo, komunalne djelatnosti i prostorno planiranje.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284" w:hanging="284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 xml:space="preserve">PRAVNA OSNOVA </w:t>
      </w:r>
    </w:p>
    <w:p w:rsidR="008F52C3" w:rsidRPr="00B87B39" w:rsidRDefault="008F52C3" w:rsidP="008F52C3">
      <w:pPr>
        <w:widowControl/>
        <w:suppressAutoHyphens w:val="0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4.</w:t>
      </w:r>
    </w:p>
    <w:p w:rsidR="008F52C3" w:rsidRPr="00B87B39" w:rsidRDefault="008F52C3" w:rsidP="008F52C3">
      <w:pPr>
        <w:widowControl/>
        <w:suppressAutoHyphens w:val="0"/>
        <w:jc w:val="center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Postupak izrade i donošenja ovih Izmjena i dopuna Plana temelji se na odredbama članaka 81.-113. te članka 198. Zakona o prostornom uređenju (Narodne novine, broj 153/13).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outlineLvl w:val="0"/>
        <w:rPr>
          <w:rFonts w:ascii="Times New Roman" w:eastAsia="Times New Roman" w:hAnsi="Times New Roman" w:cs="Times New Roman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284" w:hanging="284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 xml:space="preserve"> RAZLOZI IZRADE I DONOŠENJA IZMJENA I DOPUNA PLANA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5.</w:t>
      </w:r>
    </w:p>
    <w:p w:rsidR="008F52C3" w:rsidRPr="00B87B39" w:rsidRDefault="008F52C3" w:rsidP="008F52C3">
      <w:pPr>
        <w:widowControl/>
        <w:tabs>
          <w:tab w:val="left" w:pos="360"/>
        </w:tabs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tabs>
          <w:tab w:val="left" w:pos="360"/>
        </w:tabs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Razlozi za Izmjenu i dopunu Plana su:</w:t>
      </w:r>
    </w:p>
    <w:p w:rsidR="008F52C3" w:rsidRPr="00B87B39" w:rsidRDefault="008F52C3" w:rsidP="008F52C3">
      <w:pPr>
        <w:widowControl/>
        <w:tabs>
          <w:tab w:val="left" w:pos="360"/>
        </w:tabs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preispitivanje trase planiranih prometnica koje su u važećem Planu ucrtane preko k.č.br. 650, 651, 653, 654/9, 654/10, 658, 659/7, 660/1, 658, 664, 665/6, 665/5, 665/1, 666/1, 2734/1, 2735, 2736, 2737/2, 2738, 2739, 2740, 2771/3, 3236, 3237, 3228, 3226, 3224, 3216/1, 3227/1, 3213, 3204, 3188, 3185, 4064/1  k.o. Ivanić-Grad, u cilju korekcije trase</w:t>
      </w:r>
    </w:p>
    <w:p w:rsidR="008F52C3" w:rsidRPr="00B87B39" w:rsidRDefault="008F52C3" w:rsidP="008F52C3">
      <w:pPr>
        <w:widowControl/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color w:val="FF0000"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preispitivanje potrebe planiranja prometnica preko k.č.br. 205/1, 206/1, 206/2 k.o. Ivanić-Grad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namjene ucrtane u važećem Planu na k.č.br. 1584/1, 1584/2 i 1584/3 k.o. Ivanić-Grad, u cilju usklađivanja sa stvarnom namjenom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postojeće namjene (K1, K2, K3) na k.č.br. 2674/1 k.o. Ivanić-Grad, te razmatranje promjene u stambenu namjenu (S) 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postojeće namjene i razmatranje mogućnosti promjene namjene na k.č.br. 2263/1 k.o. Ivanić-Grad iz (D5) –školska u (M1) – mješovitu – pretežito stambenu namjenu 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preispitivanje postojeće namjene (K3) – komunalno servisna  na k.č.br. 1867/1 k.o. Ivanić-Grad, s ciljem omogućavanja izgradnje i gospodarskih, te stambeno-poslovnih građevina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postojeće namjene (K3) - komunalno servisna na  k.č.br. 2378/1 k.o. Ivanić-Grad, u cilju omogućavanja realizacije i sadržaja javne i društvene namjene – obrazovna/školska namjena, uz gospodarsku namjenu, sukladno potencijalnim razvojnim potrebama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postojeće namjene (D7) – kultura na k.č.br. 1898 k.o. Ivanić-Grad, u cilju usklađenja sa stvarnom namjenom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color w:val="C00000"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postojeće namjene (D2) - socijalna na k.č.br. 2295/3 k.o. Ivanić-Grad, u cilju omogućavanja realizacije i sadržaja javne i društvene namjene – obrazovna/školska, sukladno razvojnim potrebama 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građevinskog područja naselja, u cilju razmatranja mogućnosti promjene namjene na k.č.br. 1097/5 k.o. Ivanić-Grad, iz Z2 namjene u stambenu namjenu (S), odnosno razmatranje mogućnosti povećanja građevinskog područja naselja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lastRenderedPageBreak/>
        <w:t>preispitivanje građevinskog područja naselja, u cilju promjene namjene (Z) – zaštitne zelene površine na k.č.br. 3420/1, 3420/8, 3420/7, 3420/2, 3418/1, 3416/4, 3416/5, 3417/5, 3413/1, 3411/1 k.o. Ivanić-Grad u građevinsku namjenu, pogotovo na k.č.br. 3420/1, s ciljem omogućavanja obavljanja poslovne djelatnosti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ukidanje zaštitnog koridora magistralnog plinovoda Ivanić-Posavski Bregi DN 150/50, koji je prikazan u važećem Planu, a koji plinovod nije više u funkciji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ukidanje zaštitnog koridora magistralnog plinovoda Ivanić-Ivanić 1 DN 150/50, koji je prikazan u važećem Planu, a koji plinovod nije više u funkciji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građevinskog područja naselja, u cilju razmatranja mogućnosti promjene namjene na k.č.br. 2546 k.o. Ivanić-Grad iz postojeće namjene (Z1) - javni park u građevinsku namjenu, odnosno razmatranje mogućnosti povećanja građevinskog područja naselja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preispitivanje građevinskog područja naselja te razmatranje povećanja građevinskog područja na k.č.br. 1016/16 k.o. Ivanić-Grad, na stambenu (S) namjenu, s obzirom na postojeću namjenu u okruženju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građevinskog područja naselja, u cilju razmatranja mogućnosti ukidanja prometnice i formiranja stambene namjene (S) koja podrazumijeva proširenje građevinskog područja naselja na k.č.br. 2771/3 k.o. Ivanić-Grad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građevinskog područja naselja, u cilju razmatranja mogućnosti proširenja građevinskog područja na cijelu k.č.br.  366 k.o. Ivanić-Grad, koja je u važećem Planu samo djelomično smještena unutar građevinskog područja namjene (M1)-neizgrađeni dio, a dijelom izvan građevinskog područja, tj. unutar alternativnog koridora i trase magistralne željezničke pruge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potreba za preispitivanjem uvjeta korištenja namjene prostora i načina gradnje na ŠRC Zelenjak – sportska i gospodarska namjena (preispitivanje odredbi za provođenje kao i grafičkog prikaza)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ukidanje/brisanje produktovoda koji prolazi preko k.č.br. 138/1, 136, 137, 133, 132, 131, 130, 128, 4000, 127, 126, 3998, 125, 4021, 124, 122, 121, 236, 237, 238, 3997, 249, 248, 247, 246, 245, 3996, 262/1, 3995, 586, 585, 581, 4003, 495/1, 495/2, 496/1, 496/3, 497/1, 497/2, 488/2, 488/7, 477/4, 468, 476/2 k.o. Ivanić-Grad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usklađenje trase infrastrukture - (nafta, plin, etanovod…)  sa stvarnim stanjem na ŠRC Zelenjak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razmatranje potrebe i mogućnosti korekcije/usklađenja granica eksploatacijskog polja ugljikovodika unutar obuhvata Plana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preispitivanje odredbi za provođenje koje se odnose na uvjete gradnje unutar zaštitnog koridora magistralnih plinovoda, u cilju razmatranja mogućnosti dopune odredbi dodatnim uvjetima, koje se posebno odnose na nezakonito izgrađene zgrade unutar obuhvata Plana, a u cilju njihovog ozakonjenja unutar navedenih koridora  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brisanje teksta odredbama za provođenje, koji glasi: </w:t>
      </w:r>
      <w:r w:rsidRPr="00B87B39">
        <w:rPr>
          <w:rFonts w:ascii="Arial" w:eastAsia="Times New Roman" w:hAnsi="Arial" w:cs="Arial"/>
          <w:i/>
          <w:noProof/>
          <w:kern w:val="0"/>
          <w:szCs w:val="20"/>
          <w:lang w:eastAsia="hr-HR" w:bidi="ar-SA"/>
        </w:rPr>
        <w:t>,,uz njegovu prenamjenu iz kolno (pješačke) površine u pješačku, a temeljem urbanističko-arhitektonskog natječaja“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, a koja odredba se odnosi na uređenje Trga Vladimira Nazora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brisanje teksta u odredbama za provođenje koji glasi: </w:t>
      </w:r>
      <w:r w:rsidRPr="00B87B39">
        <w:rPr>
          <w:rFonts w:ascii="Arial" w:eastAsia="Times New Roman" w:hAnsi="Arial" w:cs="Arial"/>
          <w:i/>
          <w:noProof/>
          <w:kern w:val="0"/>
          <w:szCs w:val="20"/>
          <w:lang w:eastAsia="hr-HR" w:bidi="ar-SA"/>
        </w:rPr>
        <w:t>„Preporuča se provođenje urbanističko-arhitektonskog natječaja za realizaciju gradskog sportsko-rekreacijskog centra Zelenjak, a prema odredbama ovog Plana.“.</w:t>
      </w:r>
    </w:p>
    <w:p w:rsidR="008F52C3" w:rsidRPr="00B87B39" w:rsidRDefault="008F52C3" w:rsidP="008F52C3">
      <w:pPr>
        <w:widowControl/>
        <w:suppressAutoHyphens w:val="0"/>
        <w:ind w:left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Sve navedeno, potrebno je ispitati kroz postupak izrade i donošenja Izmjena i dopuna Plana.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color w:val="C00000"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color w:val="C00000"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284" w:hanging="284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OBUHVAT IZMJENA I DOPUNA PLANA</w:t>
      </w:r>
    </w:p>
    <w:p w:rsidR="008F52C3" w:rsidRPr="00B87B39" w:rsidRDefault="008F52C3" w:rsidP="008F52C3">
      <w:pPr>
        <w:widowControl/>
        <w:tabs>
          <w:tab w:val="left" w:pos="360"/>
        </w:tabs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6.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284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Izmjene i dopune Plana odnose se izmjene i dopune tekstualnog i grafičkog Plana te je prostorni obuhvat Izmjena i dopuna Plana istovjetan obuhvatu Plana, odnosno površini od 742,39 ha.</w:t>
      </w:r>
    </w:p>
    <w:p w:rsidR="008F52C3" w:rsidRPr="00B87B39" w:rsidRDefault="008F52C3" w:rsidP="008F52C3">
      <w:pPr>
        <w:widowControl/>
        <w:suppressAutoHyphens w:val="0"/>
        <w:ind w:firstLine="284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284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284" w:hanging="284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SAŽETA OCJENA STANJA U OBUHVATU IZMJENA I DOPUNA PLANA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7.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Urbanistički plan uređenja UPU-4 za područja Ivanić-Grad, Šarampov Donji i Jalševec Breški</w:t>
      </w: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 xml:space="preserve"> 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(u daljnjem tekstu: Plan) donesen je na 34. sjednici Gradskog vijeća održanoj dana 06. studenog 2008. godine. Odluka o donošenju Plana objavljena je u Službenom glasniku broj 13/08 od 20. studenog 2008. godine. 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I. Izmjene i dopune Urbanističkog plana uređenja UPU-4 za područja Ivanić-Grad. Šarampov Donji i Jalševec Breški donesene su na 42. sjednici Gradskog vijeća održanoj 14. travnja 2009. godine i objavljene u Službenom glasniku broj 05/09 od 6. travnja 2009. godine. Predmetne izmjene i dopune Plana bile su ciljane i odnosile su se na usklađenja sa projektiranim rješenjem stambenog naselja Zlatna dob. 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II. Izmjene i dopune Urbanističkog plana uređenja UPU-4 za područja Ivanić-Grad, Šarampov Donji i Jalševec Breški donesene su na 36. sjednici Gradskog vijeća održanoj 23. veljače 2012. godine i objavljene u Službenom glasniku broj 01/12 od 24. veljače 2012. godine. Predmetne izmjene i dopune Plana odnosile su se na usklađenje sa izmjenama Prostornog plana vezano uz gradnju u zaštitnoj zoni Etana, određivanje širine parcele na građevinskom pravcu te uvjeta gradnje.</w:t>
      </w:r>
    </w:p>
    <w:p w:rsidR="008F52C3" w:rsidRPr="00B87B39" w:rsidRDefault="008F52C3" w:rsidP="008F52C3">
      <w:pPr>
        <w:widowControl/>
        <w:tabs>
          <w:tab w:val="num" w:pos="0"/>
        </w:tabs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  <w:t>III. Izmjene i dopune Urbanističkog plana uređenja UPU-4 za područja Ivanić-Grad, Šarampov Donji i Jalševec Breški donesene su na 14. sjednici Gradskog vijeća održanoj dana 16. srpnja 2014. godine i objavljene u Službenom glasniku broj 06/14 od 17. srpnja 2014.godine. Predmetne izmjene i dopune odnosile su se na integraciju provedbenih odredbi za područja povijesne jezgre gdje se ukidao Detaljni plan uređenja DPU-1 povijesna jezgra. Plan se usklađivao sa novonastalim projektnim rješenjima infrastrukture te uvažavao promjenu granica naselja.</w:t>
      </w: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S obzirom da je u razdoblju od donošenja III. Izmjena i dopuna Urbanističkog plana uređenja UPU-4 za područja Ivanić-Grad, Šarampov Donji i Jalševec Breški, zaprimljeno više novih pojedinačnih zahtjeva za izmjenom Plana, kao i da su utvrđene određena ograničenja u razvojnom smislu Grada Ivanić-Grada, ovim izmjenama i dopunama će se svi prethodno navedeni razlozi za izmjenu i dopunu Plana preispitati.</w:t>
      </w: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tabs>
          <w:tab w:val="left" w:pos="426"/>
        </w:tabs>
        <w:suppressAutoHyphens w:val="0"/>
        <w:ind w:left="284" w:hanging="284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CILJEVI I PROGRAMSKA POLAZIŠTA IZMJENA I DOPUNA PLANA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8.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spacing w:after="12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Izradi Izmjena i dopuna Plana pristupa se radi preispitivanja te po potrebi dorade/korekcije pojedinih grafičkih dijelova važećeg Plana kao i Odredbi za provođenje važećeg Plana čija se primjena referira na cjelokupni obuhvat, kao i radi izmjene pojedinih važećih odredbi za provođenje sa ciljem stvaranja prostorno-planskih preduvjeta vezanih na realizaciju pojedinih sadržaja unutar Izmjena i dopuna Plana. </w:t>
      </w:r>
    </w:p>
    <w:p w:rsidR="008F52C3" w:rsidRPr="00B87B39" w:rsidRDefault="008F52C3" w:rsidP="008F52C3">
      <w:pPr>
        <w:widowControl/>
        <w:suppressAutoHyphens w:val="0"/>
        <w:spacing w:after="12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Istaknutim razlozima za izradu Izmjena i dopuna Plana određeni su ujedno i sljedeći osnovni ciljevi i programska polazišta: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korigiranje prometne mreže iz članka 5. ove Odluke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usklađenje energetske infrastrukture (plinovod, naftovod…) iz članka 5. ove Odluke sa stvarnim stanjem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korigiranje namjene površina te korigiranje građevinskog područja iz članka 5. ove Odluke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korigiranje odredbi za provođenje</w:t>
      </w:r>
    </w:p>
    <w:p w:rsidR="008F52C3" w:rsidRPr="00B87B39" w:rsidRDefault="008F52C3" w:rsidP="008F52C3">
      <w:pPr>
        <w:widowControl/>
        <w:suppressAutoHyphens w:val="0"/>
        <w:ind w:left="142" w:hanging="142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- izrada pročišćenog teksta odredbi za provođenje i grafičkog dijela Plana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567" w:hanging="567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POPIS SEKTORSKIH STRATEGIJA, PLANOVA, STUDIJA I DRUGIH DOKUMENATA PROPISANIH POSEBNIM ZAKONIMA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9.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Za potrebe izrade Izmjene i dopune Plana koristiti će se raspoloživa prostorno-planska dokumentacija kao i dokumentacija prostora koju iz područja svog djelokruga osiguravaju tijela i osobe određene posebnim propisima. </w:t>
      </w: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Izrada ostalih sektorskih strategija, planova, studija i slično nije planirana.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567" w:hanging="567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NAČIN PRIBAVLJANJA STRUČNIH RJEŠENJA IZMJENA I DOPUNA PLANA</w:t>
      </w:r>
    </w:p>
    <w:p w:rsidR="008F52C3" w:rsidRPr="00B87B39" w:rsidRDefault="008F52C3" w:rsidP="008F52C3">
      <w:pPr>
        <w:widowControl/>
        <w:suppressAutoHyphens w:val="0"/>
        <w:ind w:left="108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10.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  <w:t>Stručna rješenja za izradu Izmjene i dopune Plana izraditi stručni izrađivač izmjena i dopuna Plana, ovlašten za obavljanje stručnih poslova prostornog uređenja, u suradnji s nositeljem izrade Upravnim odjelom za financije, gospodarstvo, komunalne djelatnosti i prostorno planiranje Grada Ivanić-Grada.</w:t>
      </w: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567" w:hanging="567"/>
        <w:jc w:val="both"/>
        <w:outlineLvl w:val="0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POPIS JAVNOPRAVNIH TIJELA ODREĐENIH POSEBNIM PROPISIMA KOJI DAJU ZAHTJEVE ZA IZRADU IZMJENA I DOPUNA PLANA TE DRUGIH</w:t>
      </w: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 </w:t>
      </w: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SUDIONIKA KORISNIKA PROSTORA KOJI TREBAJU SUDJELOVATI U IZRADI IZMJENA I DOPUNA PLANA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11.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spacing w:after="12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Sudionici u izradi Izmjena i dopuna Plana, prema potrebi su sljedeća javnopravna tijela i drugi sudionici korisnici prostora, koji trebaju sudjelovati u postupku Izmjena i dopuna Plana: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MINISTARSTVO ZAŠTITE OKOLIŠA I PRIRODE, Uprava za zaštitu prirode, Ulica Republike Austrije 14,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MINISTARSTVO GOSPODARSTVA, Ulica grada Vukovara 220,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MINISTARSTVO KULTURE, UPRAVA ZA ZAŠTITU KULTURNE BAŠTINE, Konzervatorski odjel u Zagrebu, Mesnička 49,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MINISTARSTVO KULTURE, Runjaninova 2,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DRŽAVNA UPRAVA ZA ZAŠTITU I SPAŠAVANJE, Područni ured za zaštitu i spašavanje Zagreb, Odjel za zaštitu i spašavanje, Capraška bb,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MINISTARSTVO UNUTARNJIH POSLOVA, PU Zagrebačka, Sektor upravnih i inspekcijskih i poslova civilne zaštite, Inspektorat unutarnjih poslova, Petrinjska 30,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 xml:space="preserve">HRVATSKE CESTE, </w:t>
      </w: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Sektor za studije i planiranje, Odjel za studije, zakonsku i tehničku regulativu, Vončinina 3,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HRVATSKE VODE, Vodogospodarstveni odjek za slivno područje Grada Zagreba, Ulica grada Vukovara 220,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HRVATSKE VODE, Radićeva 2, Kutina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HEP-ODS d.o.o., Elektra Križ, Trg sv. Križa 7, Križ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IVAKOP d.o.o. Ivanić-Grad, Savska 50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IVAPLIN d.o.o. Ivanić-Grad, Moslavačka 13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ODVODNJA IVANIĆ-GRAD d.o.o. Ivanić-Grad, Moslavačka 13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INA d.d., SD istraživanje i proizvodnja nafte i plina, Sektor podrške istraživanju i proizvodnji, Avenija Većeslava Holjevca 10,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PLINACRO d.o.o. Zagreb, Služba za razvoj i investicije, Savska 88A,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CROSCO d.o.o. Zagreb, Ulica grada Vukovara 18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HŽ infrastruktura d.o.o. Zagreb, Razvoj i investicijsko planiranje, Mihanovićeva 12,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HRVATSKA AGENCIJA ZA POŠTU I ELEKTRONIČKE KOMUNIKACIJE, Roberta Frangeša Mihanovića 9,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ŽUPANIJSKA UPRAVA ZA CESTE, Remetinečka 3, Zagreb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lang w:eastAsia="hr-HR" w:bidi="ar-SA"/>
        </w:rPr>
        <w:t>ZAGREBAČKA ŽUPANIJA, Upravni odjel za prostorno uređenje, gradnju i zaštitu okoliša, Ispostava Ivanić-Grad, Trg Vladimira Nazora 1, Ivanić-Grad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MJESNI ODBORI: Lonja, Centar Ivanić-Grad, Gornja Poljana, Donja Poljana, Gornji Šarampov, Jalševec Breški</w:t>
      </w:r>
    </w:p>
    <w:p w:rsidR="008F52C3" w:rsidRPr="00B87B39" w:rsidRDefault="008F52C3" w:rsidP="008F52C3">
      <w:pPr>
        <w:widowControl/>
        <w:numPr>
          <w:ilvl w:val="0"/>
          <w:numId w:val="3"/>
        </w:numPr>
        <w:suppressAutoHyphens w:val="0"/>
        <w:ind w:left="36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 druga tijela utvrđena Zakonom o prostornom uređenju.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426" w:hanging="426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PLANIRANI ROK ZA IZRADU IZMJENA I DOPUNA PLANA, ODNOSNO NJEGOVIH POJEDINIH FAZA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12.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Za izradu Izmjena i dopuna Plana određuju se sljedeći rokovi:</w:t>
      </w: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rok za dostavu zahtjeva javnopravnih tijela i drugih sudionika korisnika prostora koji trebaju sudjelovati u izradi Izmjena i dopuna Plana, u roku od 30 dana od zaprimanja Odluke s pozivom na dostavu zahtjeva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izrada Nacrta prijedloga Izmjena i dopuna Plana, u roku od 30 dana od dostavljenih zahtjeva javnopravnih tijela i drugih sudionika korisnika prostora koji trebaju sudjelovati u izradi Izmjena i dopuna Plana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Nacrt prijedloga izmjena i dopuna Plana dostavlja se Gradonačelniku radi utvrđivanja Prijedloga Izmjena i dopuna Plana za javnu raspravu.  Stručni izrađivač će pripremiti elaborat Prijedloga izmjena i dopuna Plana za javnu raspravu u roku od najviše 7 dana od utvrđivanja Prijedloga izmjena i dopuna Plana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početak javne rasprave utvrđuje se u roku od 8 dana od dana objave javne rasprave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vrijeme trajanja javnog uvida u Prijedlog Izmjena i dopuna Plana određuje se u trajanju od  15 dana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izrada Izvješća o javnoj raspravi u roku od 15 dana od proteka roka za davanje pisanih mišljenja, prijedloga i primjedbi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izrada Nacrta konačnog prijedloga Izmjena i dopuna Plana u roku od 15 dana od izrade izvješća o javnoj raspravi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Nacrt konačnog prijedloga Izmjena i dopuna Plana i Izvješće o javnoj raspravi dostavlja se Gradonačelniku radi utvrđivanja Konačnog prijedloga Izmjena i dopuna Plana</w:t>
      </w:r>
    </w:p>
    <w:p w:rsidR="008F52C3" w:rsidRPr="00B87B39" w:rsidRDefault="008F52C3" w:rsidP="008F52C3">
      <w:pPr>
        <w:widowControl/>
        <w:numPr>
          <w:ilvl w:val="0"/>
          <w:numId w:val="2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dostava sudionicima javne rasprave pisane obavijesti s obrazloženjem o razlozima neprihvaćanja, odnosno djelomičnog prihvaćanja njihovih prijedloga i primjedbi u roku od najviše 15 dana od utvrđivanja Konačnog prijedloga Izmjene i dopune Plana</w:t>
      </w:r>
    </w:p>
    <w:p w:rsidR="008F52C3" w:rsidRPr="00B87B39" w:rsidRDefault="008F52C3" w:rsidP="008F52C3">
      <w:pPr>
        <w:widowControl/>
        <w:suppressAutoHyphens w:val="0"/>
        <w:ind w:left="72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Odluku o donošenju izmjena i dopuna Plana donosi Gradsko vijeće Grada Ivanić-Grada.</w:t>
      </w: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9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Po donošenju ovih Izmjena i dopuna Plana na Gradskom vijeću, za izradu i objavu pročišćenog teksta odredbi za provođenje i grafičkog dijela Izmjena i dopuna Plana, utvrđuje se rok od najviše 30 dana od dana stupanja na snagu  Odluke o donošenju Izmjena i dopuna Plana.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lastRenderedPageBreak/>
        <w:t>Rokovi za provedbu pojedinih faza izrade i donošenja Izmjena i dopuna Plana utvrđeni ovom Odlukom mogu se mijenjati pod uvjetima propisanim Zakonom o prostornom uređenju.</w:t>
      </w:r>
    </w:p>
    <w:p w:rsidR="008F52C3" w:rsidRPr="00B87B39" w:rsidRDefault="008F52C3" w:rsidP="008F52C3">
      <w:pPr>
        <w:widowControl/>
        <w:suppressAutoHyphens w:val="0"/>
        <w:ind w:firstLine="567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426" w:hanging="426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IZVORI FINANCIRANJA IZMJENA I DOPUNA PLANA</w:t>
      </w:r>
    </w:p>
    <w:p w:rsidR="008F52C3" w:rsidRPr="00B87B39" w:rsidRDefault="008F52C3" w:rsidP="008F52C3">
      <w:pPr>
        <w:widowControl/>
        <w:suppressAutoHyphens w:val="0"/>
        <w:ind w:left="426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13.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ab/>
        <w:t>Financiranje izrade Izmjena i dopuna Plana osigurati će se iz Proračuna Grada Ivanić-Grada.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numPr>
          <w:ilvl w:val="0"/>
          <w:numId w:val="1"/>
        </w:numPr>
        <w:suppressAutoHyphens w:val="0"/>
        <w:ind w:left="426" w:hanging="426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ZAVRŠNE ODREDBE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14.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Tijekom izrade ovih izmjena i dopuna Plana dozvoljava se izdavanje akata kojima se odobravaju zahvati u prostoru ukoliko su u skladu s važećim Planom.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b/>
          <w:noProof/>
          <w:kern w:val="0"/>
          <w:szCs w:val="20"/>
          <w:lang w:eastAsia="hr-HR" w:bidi="ar-SA"/>
        </w:rPr>
        <w:t>Članak 15.</w:t>
      </w: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Ova Odluka stupa na snagu osmog dana od dana objave u Službenom glasniku Grada Ivanić-Grada.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REPUBLIKA HRVATSKA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ZAGREBAČKA ŽUPANIJA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GRAD IVANIĆ-GRAD</w:t>
      </w:r>
    </w:p>
    <w:p w:rsidR="008F52C3" w:rsidRPr="00B87B39" w:rsidRDefault="008F52C3" w:rsidP="008F52C3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  <w:r w:rsidRPr="00B87B39">
        <w:rPr>
          <w:rFonts w:ascii="Arial" w:eastAsia="Times New Roman" w:hAnsi="Arial" w:cs="Arial"/>
          <w:noProof/>
          <w:kern w:val="0"/>
          <w:szCs w:val="20"/>
          <w:lang w:eastAsia="hr-HR" w:bidi="ar-SA"/>
        </w:rPr>
        <w:t>GRADSKO VIJEĆE</w:t>
      </w:r>
    </w:p>
    <w:p w:rsidR="008F52C3" w:rsidRPr="00B87B39" w:rsidRDefault="008F52C3" w:rsidP="008F52C3">
      <w:pPr>
        <w:widowControl/>
        <w:suppressAutoHyphens w:val="0"/>
        <w:rPr>
          <w:rFonts w:ascii="Arial" w:eastAsia="Times New Roman" w:hAnsi="Arial" w:cs="Arial"/>
          <w:noProof/>
          <w:kern w:val="0"/>
          <w:szCs w:val="20"/>
          <w:lang w:eastAsia="hr-HR" w:bidi="ar-SA"/>
        </w:rPr>
      </w:pPr>
    </w:p>
    <w:p w:rsidR="008F52C3" w:rsidRPr="00B87B39" w:rsidRDefault="008F52C3" w:rsidP="008F52C3">
      <w:pPr>
        <w:widowControl/>
        <w:tabs>
          <w:tab w:val="left" w:pos="6105"/>
        </w:tabs>
        <w:autoSpaceDN w:val="0"/>
        <w:jc w:val="both"/>
        <w:textAlignment w:val="baseline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8F52C3" w:rsidRPr="00B87B39" w:rsidRDefault="008F52C3" w:rsidP="008F52C3">
      <w:pPr>
        <w:widowControl/>
        <w:tabs>
          <w:tab w:val="left" w:pos="6105"/>
        </w:tabs>
        <w:autoSpaceDN w:val="0"/>
        <w:jc w:val="both"/>
        <w:textAlignment w:val="baseline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8F52C3" w:rsidRPr="00B87B39" w:rsidRDefault="008F52C3" w:rsidP="008F52C3">
      <w:pPr>
        <w:widowControl/>
        <w:tabs>
          <w:tab w:val="left" w:pos="6105"/>
        </w:tabs>
        <w:autoSpaceDN w:val="0"/>
        <w:jc w:val="both"/>
        <w:textAlignment w:val="baseline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8F52C3" w:rsidRDefault="008F52C3" w:rsidP="008F52C3">
      <w:pPr>
        <w:rPr>
          <w:rFonts w:ascii="Arial" w:hAnsi="Arial"/>
        </w:rPr>
      </w:pPr>
      <w:r>
        <w:rPr>
          <w:rFonts w:ascii="Arial" w:hAnsi="Arial"/>
        </w:rPr>
        <w:t>KLASA:021-01/15-01/9                                             Predsjednik Gradskog vijeća:</w:t>
      </w:r>
    </w:p>
    <w:p w:rsidR="008F52C3" w:rsidRDefault="008F52C3" w:rsidP="008F52C3">
      <w:pPr>
        <w:rPr>
          <w:rFonts w:ascii="Arial" w:hAnsi="Arial"/>
        </w:rPr>
      </w:pPr>
      <w:r>
        <w:rPr>
          <w:rFonts w:ascii="Arial" w:hAnsi="Arial"/>
        </w:rPr>
        <w:t>URBROJ:238/10-01/13-15-6</w:t>
      </w:r>
    </w:p>
    <w:p w:rsidR="008F52C3" w:rsidRDefault="008F52C3" w:rsidP="008F52C3">
      <w:pPr>
        <w:rPr>
          <w:rFonts w:ascii="Arial" w:hAnsi="Arial"/>
        </w:rPr>
      </w:pPr>
      <w:r>
        <w:rPr>
          <w:rFonts w:ascii="Arial" w:hAnsi="Arial"/>
        </w:rPr>
        <w:t>Ivanić-Grad, 03. rujna 2015.                              Željko Pongrac, pravnik kriminalist</w:t>
      </w:r>
    </w:p>
    <w:p w:rsidR="00D323E6" w:rsidRDefault="00D323E6">
      <w:bookmarkStart w:id="0" w:name="_GoBack"/>
      <w:bookmarkEnd w:id="0"/>
    </w:p>
    <w:sectPr w:rsidR="00D32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4F75"/>
    <w:multiLevelType w:val="hybridMultilevel"/>
    <w:tmpl w:val="94585F34"/>
    <w:lvl w:ilvl="0" w:tplc="BB0432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87EF4"/>
    <w:multiLevelType w:val="hybridMultilevel"/>
    <w:tmpl w:val="DB5E31E0"/>
    <w:lvl w:ilvl="0" w:tplc="A77241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853AD"/>
    <w:multiLevelType w:val="hybridMultilevel"/>
    <w:tmpl w:val="DA6E70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CF3"/>
    <w:rsid w:val="00502CF3"/>
    <w:rsid w:val="008F52C3"/>
    <w:rsid w:val="00D32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2C3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2C3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2509</Words>
  <Characters>14303</Characters>
  <Application>Microsoft Office Word</Application>
  <DocSecurity>0</DocSecurity>
  <Lines>119</Lines>
  <Paragraphs>33</Paragraphs>
  <ScaleCrop>false</ScaleCrop>
  <Company/>
  <LinksUpToDate>false</LinksUpToDate>
  <CharactersWithSpaces>16779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2016-06-10T06:10:00Z</dcterms:created>
  <dcterms:modified xsi:type="dcterms:W3CDTF">2016-06-10T06:10:00Z</dcterms:modified>
</cp:coreProperties>
</file>